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D84EE5" w:rsidRPr="000938B5" w:rsidTr="00615CB5">
        <w:trPr>
          <w:trHeight w:val="252"/>
        </w:trPr>
        <w:tc>
          <w:tcPr>
            <w:tcW w:w="2910" w:type="dxa"/>
            <w:vAlign w:val="center"/>
          </w:tcPr>
          <w:p w:rsidR="00486CCC" w:rsidRPr="000938B5" w:rsidRDefault="000938B5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7297" w:type="dxa"/>
          </w:tcPr>
          <w:p w:rsidR="00486CCC" w:rsidRPr="000938B5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Temel Hukuk</w:t>
            </w:r>
          </w:p>
        </w:tc>
      </w:tr>
      <w:tr w:rsidR="00D84EE5" w:rsidRPr="000938B5" w:rsidTr="00615CB5">
        <w:trPr>
          <w:trHeight w:val="252"/>
        </w:trPr>
        <w:tc>
          <w:tcPr>
            <w:tcW w:w="2910" w:type="dxa"/>
            <w:vAlign w:val="center"/>
          </w:tcPr>
          <w:p w:rsidR="00D84EE5" w:rsidRPr="000938B5" w:rsidRDefault="000938B5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7297" w:type="dxa"/>
          </w:tcPr>
          <w:p w:rsidR="00D84EE5" w:rsidRPr="000938B5" w:rsidRDefault="00D84EE5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2 (Teori=2)</w:t>
            </w:r>
          </w:p>
        </w:tc>
      </w:tr>
      <w:tr w:rsidR="00D84EE5" w:rsidRPr="000938B5" w:rsidTr="00615CB5">
        <w:trPr>
          <w:trHeight w:val="252"/>
        </w:trPr>
        <w:tc>
          <w:tcPr>
            <w:tcW w:w="2910" w:type="dxa"/>
            <w:vAlign w:val="center"/>
          </w:tcPr>
          <w:p w:rsidR="00486CCC" w:rsidRPr="000938B5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38B5">
              <w:rPr>
                <w:b/>
                <w:sz w:val="20"/>
                <w:szCs w:val="20"/>
                <w:lang w:val="tr-TR"/>
              </w:rPr>
              <w:t>AKTS'si</w:t>
            </w:r>
            <w:proofErr w:type="spellEnd"/>
          </w:p>
        </w:tc>
        <w:tc>
          <w:tcPr>
            <w:tcW w:w="7297" w:type="dxa"/>
          </w:tcPr>
          <w:p w:rsidR="00486CCC" w:rsidRPr="000938B5" w:rsidRDefault="00D84EE5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4</w:t>
            </w:r>
          </w:p>
        </w:tc>
      </w:tr>
      <w:tr w:rsidR="00D84EE5" w:rsidRPr="000938B5" w:rsidTr="00615CB5">
        <w:trPr>
          <w:trHeight w:val="252"/>
        </w:trPr>
        <w:tc>
          <w:tcPr>
            <w:tcW w:w="2910" w:type="dxa"/>
            <w:vAlign w:val="center"/>
          </w:tcPr>
          <w:p w:rsidR="00486CCC" w:rsidRPr="000938B5" w:rsidRDefault="000938B5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 Yürütücüsü</w:t>
            </w:r>
          </w:p>
        </w:tc>
        <w:tc>
          <w:tcPr>
            <w:tcW w:w="7297" w:type="dxa"/>
          </w:tcPr>
          <w:p w:rsidR="00486CCC" w:rsidRPr="000938B5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0938B5">
              <w:rPr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0938B5">
              <w:rPr>
                <w:sz w:val="20"/>
                <w:szCs w:val="20"/>
                <w:lang w:val="tr-TR"/>
              </w:rPr>
              <w:t>. Seyithan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Turan</w:t>
            </w:r>
          </w:p>
        </w:tc>
      </w:tr>
      <w:tr w:rsidR="00D84EE5" w:rsidRPr="000938B5" w:rsidTr="00615CB5">
        <w:trPr>
          <w:trHeight w:val="252"/>
        </w:trPr>
        <w:tc>
          <w:tcPr>
            <w:tcW w:w="2910" w:type="dxa"/>
            <w:vAlign w:val="center"/>
          </w:tcPr>
          <w:p w:rsidR="00D84EE5" w:rsidRPr="000938B5" w:rsidRDefault="00D84EE5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Gün ve Saati</w:t>
            </w:r>
          </w:p>
        </w:tc>
        <w:tc>
          <w:tcPr>
            <w:tcW w:w="7297" w:type="dxa"/>
          </w:tcPr>
          <w:p w:rsidR="00D84EE5" w:rsidRPr="000938B5" w:rsidRDefault="000938B5" w:rsidP="008119F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Bölüm/Program web sayfası üzerinden ilan edilecektir.</w:t>
            </w:r>
          </w:p>
        </w:tc>
      </w:tr>
      <w:tr w:rsidR="00D84EE5" w:rsidRPr="000938B5" w:rsidTr="00615CB5">
        <w:trPr>
          <w:trHeight w:val="505"/>
        </w:trPr>
        <w:tc>
          <w:tcPr>
            <w:tcW w:w="2910" w:type="dxa"/>
            <w:vAlign w:val="center"/>
          </w:tcPr>
          <w:p w:rsidR="00486CCC" w:rsidRPr="000938B5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Görüşme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Gün ve Saatleri</w:t>
            </w:r>
          </w:p>
        </w:tc>
        <w:tc>
          <w:tcPr>
            <w:tcW w:w="7297" w:type="dxa"/>
          </w:tcPr>
          <w:p w:rsidR="00486CCC" w:rsidRPr="000938B5" w:rsidRDefault="000938B5" w:rsidP="00D84EE5">
            <w:pPr>
              <w:pStyle w:val="TableParagraph"/>
              <w:ind w:left="108"/>
              <w:jc w:val="lef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Perşembe</w:t>
            </w:r>
            <w:r w:rsidRPr="000938B5">
              <w:rPr>
                <w:sz w:val="20"/>
                <w:szCs w:val="20"/>
                <w:lang w:val="tr-TR"/>
              </w:rPr>
              <w:t xml:space="preserve"> 13:00-14:00</w:t>
            </w:r>
          </w:p>
        </w:tc>
      </w:tr>
      <w:tr w:rsidR="00D84EE5" w:rsidRPr="000938B5" w:rsidTr="00615CB5">
        <w:trPr>
          <w:trHeight w:val="252"/>
        </w:trPr>
        <w:tc>
          <w:tcPr>
            <w:tcW w:w="2910" w:type="dxa"/>
            <w:vAlign w:val="center"/>
          </w:tcPr>
          <w:p w:rsidR="00486CCC" w:rsidRPr="000938B5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İletişim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Bilgileri</w:t>
            </w:r>
          </w:p>
        </w:tc>
        <w:tc>
          <w:tcPr>
            <w:tcW w:w="7297" w:type="dxa"/>
          </w:tcPr>
          <w:p w:rsidR="00486CCC" w:rsidRPr="000938B5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u w:val="single" w:color="0000FF"/>
                <w:lang w:val="tr-TR"/>
              </w:rPr>
              <w:t>seyithanturan@harran.edu.tr</w:t>
            </w:r>
            <w:r w:rsidRPr="000938B5">
              <w:rPr>
                <w:sz w:val="20"/>
                <w:szCs w:val="20"/>
                <w:lang w:val="tr-TR"/>
              </w:rPr>
              <w:tab/>
            </w:r>
            <w:r w:rsidR="00D84EE5" w:rsidRPr="000938B5">
              <w:rPr>
                <w:sz w:val="20"/>
                <w:szCs w:val="20"/>
                <w:lang w:val="tr-TR"/>
              </w:rPr>
              <w:t>0</w:t>
            </w:r>
            <w:r w:rsidRPr="000938B5">
              <w:rPr>
                <w:sz w:val="20"/>
                <w:szCs w:val="20"/>
                <w:lang w:val="tr-TR"/>
              </w:rPr>
              <w:t>414.3183000-2862</w:t>
            </w:r>
          </w:p>
        </w:tc>
      </w:tr>
      <w:tr w:rsidR="00D84EE5" w:rsidRPr="000938B5" w:rsidTr="00615CB5">
        <w:trPr>
          <w:trHeight w:val="1021"/>
        </w:trPr>
        <w:tc>
          <w:tcPr>
            <w:tcW w:w="2910" w:type="dxa"/>
            <w:vAlign w:val="center"/>
          </w:tcPr>
          <w:p w:rsidR="00486CCC" w:rsidRPr="000938B5" w:rsidRDefault="00486CCC" w:rsidP="00D84EE5">
            <w:pPr>
              <w:pStyle w:val="TableParagraph"/>
              <w:spacing w:before="3"/>
              <w:ind w:left="142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Öğretim Yöntemi ve Ders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7297" w:type="dxa"/>
          </w:tcPr>
          <w:p w:rsidR="00486CCC" w:rsidRPr="000938B5" w:rsidRDefault="002615D8" w:rsidP="00BC210B">
            <w:pPr>
              <w:pStyle w:val="TableParagraph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 xml:space="preserve"> Yüz yüze e</w:t>
            </w:r>
            <w:r w:rsidR="00D84EE5" w:rsidRPr="000938B5">
              <w:rPr>
                <w:sz w:val="20"/>
                <w:szCs w:val="20"/>
                <w:lang w:val="tr-TR"/>
              </w:rPr>
              <w:t>ğitim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yöntemi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ile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konu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anlatımı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gerçekleştirilip, soru-yanıt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yoluyla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örnekler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üzerinden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tartışma, doküman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incelemelerinin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yapılması. Derse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hazırlık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aşamasında, öğrenciler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ders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kaynaklarından her haftanın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konusunu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derse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gelmeden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önce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inceleyerek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gelecekler. Haftalık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ders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konuları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ile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ilgili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tarama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yapılacak ve örnekler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D84EE5" w:rsidRPr="000938B5">
              <w:rPr>
                <w:sz w:val="20"/>
                <w:szCs w:val="20"/>
                <w:lang w:val="tr-TR"/>
              </w:rPr>
              <w:t>verilecek.</w:t>
            </w:r>
          </w:p>
        </w:tc>
      </w:tr>
      <w:tr w:rsidR="00D84EE5" w:rsidRPr="000938B5" w:rsidTr="00615CB5">
        <w:trPr>
          <w:trHeight w:val="774"/>
        </w:trPr>
        <w:tc>
          <w:tcPr>
            <w:tcW w:w="2910" w:type="dxa"/>
            <w:vAlign w:val="center"/>
          </w:tcPr>
          <w:p w:rsidR="00486CCC" w:rsidRPr="000938B5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Amacı</w:t>
            </w:r>
          </w:p>
        </w:tc>
        <w:tc>
          <w:tcPr>
            <w:tcW w:w="7297" w:type="dxa"/>
          </w:tcPr>
          <w:p w:rsidR="00486CCC" w:rsidRPr="000938B5" w:rsidRDefault="00FE3122" w:rsidP="00BC210B">
            <w:pPr>
              <w:pStyle w:val="TableParagraph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Bu dersin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genel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amacı; Hukuk Sistemini</w:t>
            </w:r>
            <w:r w:rsidR="000938B5">
              <w:rPr>
                <w:sz w:val="20"/>
                <w:szCs w:val="20"/>
                <w:lang w:val="tr-TR"/>
              </w:rPr>
              <w:t xml:space="preserve"> gene</w:t>
            </w:r>
            <w:r w:rsidRPr="000938B5">
              <w:rPr>
                <w:sz w:val="20"/>
                <w:szCs w:val="20"/>
                <w:lang w:val="tr-TR"/>
              </w:rPr>
              <w:t>l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olarak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tanıtmak, hukukun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temel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kavramlarını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kavramak, hukuk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dalları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hakkında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bilgi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sahibi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olmak, bu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bilgileri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günlük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yaşamda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kullanabilmektir.</w:t>
            </w:r>
          </w:p>
        </w:tc>
      </w:tr>
      <w:tr w:rsidR="00D84EE5" w:rsidRPr="000938B5" w:rsidTr="00615CB5">
        <w:trPr>
          <w:trHeight w:val="1472"/>
        </w:trPr>
        <w:tc>
          <w:tcPr>
            <w:tcW w:w="2910" w:type="dxa"/>
            <w:vAlign w:val="center"/>
          </w:tcPr>
          <w:p w:rsidR="00486CCC" w:rsidRPr="000938B5" w:rsidRDefault="00486CCC" w:rsidP="00D84EE5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Dersin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Öğrenme</w:t>
            </w:r>
            <w:r w:rsidR="000938B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b/>
                <w:sz w:val="20"/>
                <w:szCs w:val="20"/>
                <w:lang w:val="tr-TR"/>
              </w:rPr>
              <w:t>Çıktıları</w:t>
            </w:r>
          </w:p>
        </w:tc>
        <w:tc>
          <w:tcPr>
            <w:tcW w:w="7297" w:type="dxa"/>
          </w:tcPr>
          <w:p w:rsidR="00486CCC" w:rsidRPr="000938B5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1-</w:t>
            </w:r>
            <w:r w:rsidR="00FE3122" w:rsidRPr="000938B5">
              <w:rPr>
                <w:sz w:val="20"/>
                <w:szCs w:val="20"/>
                <w:lang w:val="tr-TR"/>
              </w:rPr>
              <w:t>Hukuk Sistemini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genel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olarak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tanır.</w:t>
            </w:r>
          </w:p>
          <w:p w:rsidR="00FE3122" w:rsidRPr="000938B5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 xml:space="preserve">2- </w:t>
            </w:r>
            <w:r w:rsidR="00FE3122" w:rsidRPr="000938B5">
              <w:rPr>
                <w:sz w:val="20"/>
                <w:szCs w:val="20"/>
                <w:lang w:val="tr-TR"/>
              </w:rPr>
              <w:t>Hukukun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temel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kavramlarını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öğrenir</w:t>
            </w:r>
          </w:p>
          <w:p w:rsidR="00FE3122" w:rsidRPr="000938B5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 xml:space="preserve">3- </w:t>
            </w:r>
            <w:r w:rsidR="00FE3122" w:rsidRPr="000938B5">
              <w:rPr>
                <w:sz w:val="20"/>
                <w:szCs w:val="20"/>
                <w:lang w:val="tr-TR"/>
              </w:rPr>
              <w:t>Hukukun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dalları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hakkında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bilgi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sahibi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olur</w:t>
            </w:r>
          </w:p>
          <w:p w:rsidR="00FE3122" w:rsidRPr="000938B5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 xml:space="preserve">4- </w:t>
            </w:r>
            <w:r w:rsidR="00FE3122" w:rsidRPr="000938B5">
              <w:rPr>
                <w:sz w:val="20"/>
                <w:szCs w:val="20"/>
                <w:lang w:val="tr-TR"/>
              </w:rPr>
              <w:t>Davranışlarını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hukuk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kurallarına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göre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düzenler</w:t>
            </w:r>
          </w:p>
          <w:p w:rsidR="00486CCC" w:rsidRPr="000938B5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 xml:space="preserve">5- </w:t>
            </w:r>
            <w:r w:rsidR="00FE3122" w:rsidRPr="000938B5">
              <w:rPr>
                <w:sz w:val="20"/>
                <w:szCs w:val="20"/>
                <w:lang w:val="tr-TR"/>
              </w:rPr>
              <w:t>.Karşılaşacağı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hukuki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problemlerin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çözüm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yollarını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FE3122" w:rsidRPr="000938B5">
              <w:rPr>
                <w:sz w:val="20"/>
                <w:szCs w:val="20"/>
                <w:lang w:val="tr-TR"/>
              </w:rPr>
              <w:t>bilir</w:t>
            </w:r>
          </w:p>
          <w:p w:rsidR="00486CCC" w:rsidRPr="000938B5" w:rsidRDefault="00486CCC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 xml:space="preserve">6- </w:t>
            </w:r>
            <w:r w:rsidR="009D61C8" w:rsidRPr="000938B5">
              <w:rPr>
                <w:sz w:val="20"/>
                <w:szCs w:val="20"/>
                <w:lang w:val="tr-TR"/>
              </w:rPr>
              <w:t>Türkiye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9D61C8" w:rsidRPr="000938B5">
              <w:rPr>
                <w:sz w:val="20"/>
                <w:szCs w:val="20"/>
                <w:lang w:val="tr-TR"/>
              </w:rPr>
              <w:t>hukuk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9D61C8" w:rsidRPr="000938B5">
              <w:rPr>
                <w:sz w:val="20"/>
                <w:szCs w:val="20"/>
                <w:lang w:val="tr-TR"/>
              </w:rPr>
              <w:t>sistemi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9D61C8" w:rsidRPr="000938B5">
              <w:rPr>
                <w:sz w:val="20"/>
                <w:szCs w:val="20"/>
                <w:lang w:val="tr-TR"/>
              </w:rPr>
              <w:t>hakkında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9D61C8" w:rsidRPr="000938B5">
              <w:rPr>
                <w:sz w:val="20"/>
                <w:szCs w:val="20"/>
                <w:lang w:val="tr-TR"/>
              </w:rPr>
              <w:t>değerlendirme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="009D61C8" w:rsidRPr="000938B5">
              <w:rPr>
                <w:sz w:val="20"/>
                <w:szCs w:val="20"/>
                <w:lang w:val="tr-TR"/>
              </w:rPr>
              <w:t>yapar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vAlign w:val="center"/>
          </w:tcPr>
          <w:p w:rsidR="00D84EE5" w:rsidRPr="000938B5" w:rsidRDefault="00D84EE5" w:rsidP="00D84EE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Haftalar</w:t>
            </w:r>
          </w:p>
        </w:tc>
        <w:tc>
          <w:tcPr>
            <w:tcW w:w="7297" w:type="dxa"/>
          </w:tcPr>
          <w:p w:rsidR="00D84EE5" w:rsidRPr="000938B5" w:rsidRDefault="00D84EE5" w:rsidP="00D84EE5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Konular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bottom w:val="single" w:sz="4" w:space="0" w:color="auto"/>
            </w:tcBorders>
          </w:tcPr>
          <w:p w:rsidR="00486CCC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486CCC" w:rsidRPr="000938B5" w:rsidRDefault="00745E39" w:rsidP="00745E39">
            <w:pPr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 w:bidi="ar-SA"/>
              </w:rPr>
              <w:t>Toplumsal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 xml:space="preserve">kurallar ve </w:t>
            </w:r>
            <w:r w:rsidR="00615CB5" w:rsidRPr="000938B5">
              <w:rPr>
                <w:sz w:val="20"/>
                <w:szCs w:val="20"/>
                <w:lang w:val="tr-TR" w:bidi="ar-SA"/>
              </w:rPr>
              <w:t>hukuk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745E39">
            <w:pPr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Hukuk kurallarının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yaptırımları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745E39">
            <w:pPr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Hukuk kurallarının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kaynakları-Yazılı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bağlayıcı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kaynaklar</w:t>
            </w:r>
          </w:p>
        </w:tc>
      </w:tr>
      <w:tr w:rsidR="00D84EE5" w:rsidRPr="000938B5" w:rsidTr="00615CB5">
        <w:trPr>
          <w:trHeight w:val="11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left="0"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745E39">
            <w:pPr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Örf ve Adet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Hukuku, Mahkeme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İçtihatları, Bilimsel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Görüşler</w:t>
            </w:r>
          </w:p>
        </w:tc>
      </w:tr>
      <w:tr w:rsidR="00D84EE5" w:rsidRPr="000938B5" w:rsidTr="00615CB5">
        <w:trPr>
          <w:trHeight w:val="15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left="0"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Hukukun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kollara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ayrılması, Kamu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Hukuku-Özel Hukuk ayrımı.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Anayasa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Hukuku, Anayasal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İlkeler, Temel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Hak ve Hürriyetler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İdare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Hukuku, Türkiye’nin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İdari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Yapısı, İdari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Yargı</w:t>
            </w:r>
            <w:r w:rsidR="000938B5">
              <w:rPr>
                <w:sz w:val="20"/>
                <w:szCs w:val="20"/>
                <w:lang w:val="tr-TR" w:bidi="ar-SA"/>
              </w:rPr>
              <w:t>-Ara Sınav</w:t>
            </w:r>
            <w:bookmarkStart w:id="0" w:name="_GoBack"/>
            <w:bookmarkEnd w:id="0"/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left="0"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Ceza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Hukuku, Suç ve Ceza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kavramları, Yargılama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 xml:space="preserve">Medeni Hukuk ve alt dalları, </w:t>
            </w:r>
            <w:proofErr w:type="gramStart"/>
            <w:r w:rsidRPr="000938B5">
              <w:rPr>
                <w:sz w:val="20"/>
                <w:szCs w:val="20"/>
                <w:lang w:val="tr-TR" w:bidi="ar-SA"/>
              </w:rPr>
              <w:t>Kişiler ,Aile</w:t>
            </w:r>
            <w:proofErr w:type="gramEnd"/>
            <w:r w:rsidRPr="000938B5">
              <w:rPr>
                <w:sz w:val="20"/>
                <w:szCs w:val="20"/>
                <w:lang w:val="tr-TR" w:bidi="ar-SA"/>
              </w:rPr>
              <w:t xml:space="preserve"> , Miras ve Eşya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Hukuku.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CC7A38">
            <w:pPr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Hak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Kavramı ve Hak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türleri.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Hakların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kazanılması ve kaybedilmesi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Hukuki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uyuşmazlıklar ve yargı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yolları, Mahkemeler ve görev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alanları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D84EE5" w:rsidRPr="000938B5" w:rsidRDefault="00D84EE5" w:rsidP="00D84EE5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 w:bidi="ar-SA"/>
              </w:rPr>
              <w:t>Yargıya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başvurma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şekil ve usulleri, örnek</w:t>
            </w:r>
            <w:r w:rsidR="000938B5">
              <w:rPr>
                <w:sz w:val="20"/>
                <w:szCs w:val="20"/>
                <w:lang w:val="tr-TR" w:bidi="ar-SA"/>
              </w:rPr>
              <w:t xml:space="preserve"> </w:t>
            </w:r>
            <w:r w:rsidRPr="000938B5">
              <w:rPr>
                <w:sz w:val="20"/>
                <w:szCs w:val="20"/>
                <w:lang w:val="tr-TR" w:bidi="ar-SA"/>
              </w:rPr>
              <w:t>dilekçeler.</w:t>
            </w:r>
          </w:p>
        </w:tc>
      </w:tr>
      <w:tr w:rsidR="00D84EE5" w:rsidRPr="000938B5" w:rsidTr="00615CB5">
        <w:trPr>
          <w:trHeight w:val="20"/>
        </w:trPr>
        <w:tc>
          <w:tcPr>
            <w:tcW w:w="2910" w:type="dxa"/>
            <w:tcBorders>
              <w:top w:val="single" w:sz="4" w:space="0" w:color="auto"/>
            </w:tcBorders>
          </w:tcPr>
          <w:p w:rsidR="00D84EE5" w:rsidRPr="000938B5" w:rsidRDefault="00D84EE5" w:rsidP="00615CB5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</w:tcBorders>
          </w:tcPr>
          <w:p w:rsidR="00D84EE5" w:rsidRPr="000938B5" w:rsidRDefault="00615CB5" w:rsidP="00D84EE5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val="tr-TR" w:bidi="ar-SA"/>
              </w:rPr>
            </w:pPr>
            <w:r w:rsidRPr="000938B5">
              <w:rPr>
                <w:sz w:val="20"/>
                <w:szCs w:val="20"/>
                <w:lang w:val="tr-TR"/>
              </w:rPr>
              <w:t>Dersin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Genel</w:t>
            </w:r>
            <w:r w:rsidR="000938B5">
              <w:rPr>
                <w:sz w:val="20"/>
                <w:szCs w:val="20"/>
                <w:lang w:val="tr-TR"/>
              </w:rPr>
              <w:t xml:space="preserve"> </w:t>
            </w:r>
            <w:r w:rsidRPr="000938B5">
              <w:rPr>
                <w:sz w:val="20"/>
                <w:szCs w:val="20"/>
                <w:lang w:val="tr-TR"/>
              </w:rPr>
              <w:t>Değerlendirmesi</w:t>
            </w:r>
          </w:p>
        </w:tc>
      </w:tr>
      <w:tr w:rsidR="00D84EE5" w:rsidRPr="000938B5" w:rsidTr="00615CB5">
        <w:trPr>
          <w:trHeight w:val="565"/>
        </w:trPr>
        <w:tc>
          <w:tcPr>
            <w:tcW w:w="2910" w:type="dxa"/>
          </w:tcPr>
          <w:p w:rsidR="00486CCC" w:rsidRPr="000938B5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tr-TR"/>
              </w:rPr>
            </w:pPr>
          </w:p>
          <w:p w:rsidR="00486CCC" w:rsidRPr="000938B5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  <w:lang w:val="tr-TR"/>
              </w:rPr>
            </w:pPr>
            <w:r w:rsidRPr="000938B5">
              <w:rPr>
                <w:b/>
                <w:sz w:val="20"/>
                <w:szCs w:val="20"/>
                <w:lang w:val="tr-TR"/>
              </w:rPr>
              <w:t>Ölçme-Değerlendirme</w:t>
            </w:r>
          </w:p>
        </w:tc>
        <w:tc>
          <w:tcPr>
            <w:tcW w:w="7297" w:type="dxa"/>
          </w:tcPr>
          <w:p w:rsidR="00486CCC" w:rsidRPr="000938B5" w:rsidRDefault="002E6577" w:rsidP="002615D8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lang w:val="tr-TR"/>
              </w:rPr>
              <w:t>Ara Sınav, Kısa Sınav, Yarıyıl Sonu Sınavı ve Değerlendirmelerin yapılacağı tarih, gün ve Saatler daha sonra Birim Yönetim Kurulu tarafından belirlenerek web sayfasında ilan edilecektir.</w:t>
            </w:r>
          </w:p>
        </w:tc>
      </w:tr>
      <w:tr w:rsidR="00615CB5" w:rsidRPr="000938B5" w:rsidTr="00347F89">
        <w:trPr>
          <w:trHeight w:val="565"/>
        </w:trPr>
        <w:tc>
          <w:tcPr>
            <w:tcW w:w="10207" w:type="dxa"/>
            <w:gridSpan w:val="2"/>
            <w:vAlign w:val="center"/>
          </w:tcPr>
          <w:p w:rsidR="00615CB5" w:rsidRPr="000938B5" w:rsidRDefault="00615CB5" w:rsidP="008119FB">
            <w:pPr>
              <w:spacing w:line="0" w:lineRule="atLeast"/>
              <w:jc w:val="center"/>
              <w:rPr>
                <w:b/>
                <w:sz w:val="20"/>
                <w:szCs w:val="20"/>
                <w:lang w:val="tr-TR" w:eastAsia="en-US" w:bidi="en-US"/>
              </w:rPr>
            </w:pPr>
            <w:r w:rsidRPr="000938B5">
              <w:rPr>
                <w:b/>
                <w:sz w:val="20"/>
                <w:szCs w:val="20"/>
                <w:lang w:val="tr-TR" w:eastAsia="en-US" w:bidi="en-US"/>
              </w:rPr>
              <w:t>Kaynaklar</w:t>
            </w:r>
          </w:p>
        </w:tc>
      </w:tr>
      <w:tr w:rsidR="00615CB5" w:rsidRPr="000938B5" w:rsidTr="00347F89">
        <w:trPr>
          <w:trHeight w:val="565"/>
        </w:trPr>
        <w:tc>
          <w:tcPr>
            <w:tcW w:w="10207" w:type="dxa"/>
            <w:gridSpan w:val="2"/>
            <w:vAlign w:val="center"/>
          </w:tcPr>
          <w:p w:rsidR="00615CB5" w:rsidRPr="000938B5" w:rsidRDefault="00615CB5" w:rsidP="008119FB">
            <w:pPr>
              <w:spacing w:line="0" w:lineRule="atLeast"/>
              <w:rPr>
                <w:sz w:val="20"/>
                <w:szCs w:val="20"/>
                <w:lang w:val="tr-TR" w:eastAsia="en-US" w:bidi="en-US"/>
              </w:rPr>
            </w:pPr>
            <w:r w:rsidRPr="000938B5">
              <w:rPr>
                <w:sz w:val="20"/>
                <w:szCs w:val="20"/>
                <w:lang w:val="tr-TR" w:eastAsia="en-US" w:bidi="en-US"/>
              </w:rPr>
              <w:t xml:space="preserve">Atasoy, V. (2018).  Temel Hukuk, </w:t>
            </w:r>
            <w:proofErr w:type="spellStart"/>
            <w:r w:rsidRPr="000938B5">
              <w:rPr>
                <w:sz w:val="20"/>
                <w:szCs w:val="20"/>
                <w:lang w:val="tr-TR" w:eastAsia="en-US" w:bidi="en-US"/>
              </w:rPr>
              <w:t>TercihKitapevi</w:t>
            </w:r>
            <w:proofErr w:type="spellEnd"/>
            <w:r w:rsidRPr="000938B5">
              <w:rPr>
                <w:sz w:val="20"/>
                <w:szCs w:val="20"/>
                <w:lang w:val="tr-TR" w:eastAsia="en-US" w:bidi="en-US"/>
              </w:rPr>
              <w:t>, Konya.</w:t>
            </w:r>
          </w:p>
          <w:p w:rsidR="00615CB5" w:rsidRPr="000938B5" w:rsidRDefault="00615CB5" w:rsidP="008119FB">
            <w:pPr>
              <w:pStyle w:val="TableParagraph"/>
              <w:spacing w:line="233" w:lineRule="exact"/>
              <w:jc w:val="left"/>
              <w:rPr>
                <w:sz w:val="20"/>
                <w:szCs w:val="20"/>
                <w:lang w:val="tr-TR"/>
              </w:rPr>
            </w:pPr>
            <w:r w:rsidRPr="000938B5">
              <w:rPr>
                <w:sz w:val="20"/>
                <w:szCs w:val="20"/>
                <w:lang w:val="tr-TR" w:eastAsia="en-US" w:bidi="en-US"/>
              </w:rPr>
              <w:t xml:space="preserve">Gözler, K. (2017). Genel Hukuk Bilgisi, </w:t>
            </w:r>
            <w:proofErr w:type="spellStart"/>
            <w:r w:rsidRPr="000938B5">
              <w:rPr>
                <w:sz w:val="20"/>
                <w:szCs w:val="20"/>
                <w:lang w:val="tr-TR" w:eastAsia="en-US" w:bidi="en-US"/>
              </w:rPr>
              <w:t>KitapseçYayınları</w:t>
            </w:r>
            <w:proofErr w:type="spellEnd"/>
            <w:r w:rsidRPr="000938B5">
              <w:rPr>
                <w:sz w:val="20"/>
                <w:szCs w:val="20"/>
                <w:lang w:val="tr-TR" w:eastAsia="en-US" w:bidi="en-US"/>
              </w:rPr>
              <w:t>, Ankara.</w:t>
            </w:r>
          </w:p>
        </w:tc>
      </w:tr>
    </w:tbl>
    <w:p w:rsidR="008A60D1" w:rsidRPr="000938B5" w:rsidRDefault="008A60D1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0938B5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p w:rsidR="00615CB5" w:rsidRPr="00FD4036" w:rsidRDefault="00615CB5" w:rsidP="00486CCC">
      <w:pPr>
        <w:rPr>
          <w:sz w:val="20"/>
          <w:szCs w:val="20"/>
        </w:rPr>
      </w:pPr>
    </w:p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526"/>
        <w:gridCol w:w="518"/>
        <w:gridCol w:w="536"/>
        <w:gridCol w:w="518"/>
        <w:gridCol w:w="591"/>
        <w:gridCol w:w="395"/>
        <w:gridCol w:w="123"/>
        <w:gridCol w:w="573"/>
        <w:gridCol w:w="518"/>
        <w:gridCol w:w="403"/>
        <w:gridCol w:w="115"/>
        <w:gridCol w:w="603"/>
        <w:gridCol w:w="603"/>
        <w:gridCol w:w="294"/>
        <w:gridCol w:w="308"/>
        <w:gridCol w:w="603"/>
        <w:gridCol w:w="603"/>
        <w:gridCol w:w="1272"/>
      </w:tblGrid>
      <w:tr w:rsidR="00D84EE5" w:rsidRPr="00FD4036" w:rsidTr="00536BC4">
        <w:trPr>
          <w:trHeight w:val="510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b/>
                <w:sz w:val="20"/>
                <w:szCs w:val="20"/>
              </w:rPr>
              <w:lastRenderedPageBreak/>
              <w:br w:type="page"/>
            </w:r>
            <w:r w:rsidRPr="00FD4036">
              <w:rPr>
                <w:sz w:val="20"/>
                <w:szCs w:val="20"/>
              </w:rPr>
              <w:br w:type="page"/>
            </w:r>
            <w:r w:rsidRPr="00FD4036">
              <w:rPr>
                <w:b/>
                <w:sz w:val="20"/>
                <w:szCs w:val="20"/>
              </w:rPr>
              <w:br w:type="page"/>
            </w:r>
            <w:r w:rsidRPr="00FD4036">
              <w:rPr>
                <w:b/>
                <w:sz w:val="20"/>
                <w:szCs w:val="20"/>
              </w:rPr>
              <w:br w:type="page"/>
            </w:r>
            <w:r w:rsidRPr="00FD4036">
              <w:rPr>
                <w:sz w:val="20"/>
                <w:szCs w:val="20"/>
              </w:rPr>
              <w:br w:type="page"/>
            </w:r>
          </w:p>
        </w:tc>
        <w:tc>
          <w:tcPr>
            <w:tcW w:w="4587" w:type="pct"/>
            <w:gridSpan w:val="18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84EE5" w:rsidRPr="00FD4036" w:rsidTr="00536BC4">
        <w:trPr>
          <w:trHeight w:val="300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00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4EE5" w:rsidRPr="00FD4036" w:rsidTr="00536BC4">
        <w:trPr>
          <w:trHeight w:val="312"/>
        </w:trPr>
        <w:tc>
          <w:tcPr>
            <w:tcW w:w="413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4EE5" w:rsidRPr="00FD4036" w:rsidTr="00536BC4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D84EE5" w:rsidRPr="00FD4036" w:rsidTr="00536BC4">
        <w:trPr>
          <w:trHeight w:val="474"/>
        </w:trPr>
        <w:tc>
          <w:tcPr>
            <w:tcW w:w="413" w:type="pct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15" w:type="pct"/>
            <w:gridSpan w:val="4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Pr="00FD4036" w:rsidRDefault="005F108D" w:rsidP="00486CCC">
      <w:pPr>
        <w:rPr>
          <w:sz w:val="20"/>
          <w:szCs w:val="20"/>
        </w:rPr>
      </w:pPr>
    </w:p>
    <w:p w:rsidR="00941BC7" w:rsidRPr="00FD4036" w:rsidRDefault="00941BC7" w:rsidP="00941BC7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 w:rsidRPr="00FD4036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97"/>
      </w:tblGrid>
      <w:tr w:rsidR="00D84EE5" w:rsidRPr="00FD4036" w:rsidTr="00DD52BD">
        <w:trPr>
          <w:trHeight w:val="328"/>
        </w:trPr>
        <w:tc>
          <w:tcPr>
            <w:tcW w:w="390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84EE5" w:rsidRPr="00FD4036" w:rsidTr="00DD52BD">
        <w:trPr>
          <w:trHeight w:val="46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Temel Hukuk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D" w:rsidRPr="00FD4036" w:rsidRDefault="00DD52BD" w:rsidP="00536BC4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FD4036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5F108D" w:rsidRPr="00FD4036" w:rsidRDefault="005F108D" w:rsidP="00486CCC">
      <w:pPr>
        <w:rPr>
          <w:sz w:val="20"/>
          <w:szCs w:val="20"/>
        </w:rPr>
      </w:pPr>
    </w:p>
    <w:sectPr w:rsidR="005F108D" w:rsidRPr="00FD4036" w:rsidSect="00C7594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4C" w:rsidRDefault="003D7F4C" w:rsidP="00D84EE5">
      <w:r>
        <w:separator/>
      </w:r>
    </w:p>
  </w:endnote>
  <w:endnote w:type="continuationSeparator" w:id="0">
    <w:p w:rsidR="003D7F4C" w:rsidRDefault="003D7F4C" w:rsidP="00D8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4C" w:rsidRDefault="003D7F4C" w:rsidP="00D84EE5">
      <w:r>
        <w:separator/>
      </w:r>
    </w:p>
  </w:footnote>
  <w:footnote w:type="continuationSeparator" w:id="0">
    <w:p w:rsidR="003D7F4C" w:rsidRDefault="003D7F4C" w:rsidP="00D8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E5" w:rsidRDefault="00D84EE5" w:rsidP="00D84EE5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D84EE5" w:rsidRDefault="00D84E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0938B5"/>
    <w:rsid w:val="00156B32"/>
    <w:rsid w:val="00172E14"/>
    <w:rsid w:val="002615D8"/>
    <w:rsid w:val="002E6577"/>
    <w:rsid w:val="002F7828"/>
    <w:rsid w:val="003D3D06"/>
    <w:rsid w:val="003D7F4C"/>
    <w:rsid w:val="00484C25"/>
    <w:rsid w:val="00486CCC"/>
    <w:rsid w:val="00497BF8"/>
    <w:rsid w:val="004C7C68"/>
    <w:rsid w:val="005C57BF"/>
    <w:rsid w:val="005F108D"/>
    <w:rsid w:val="00615CB5"/>
    <w:rsid w:val="00651988"/>
    <w:rsid w:val="00745E39"/>
    <w:rsid w:val="00795695"/>
    <w:rsid w:val="007F1CD5"/>
    <w:rsid w:val="008A60D1"/>
    <w:rsid w:val="00906A83"/>
    <w:rsid w:val="00941BC7"/>
    <w:rsid w:val="00983359"/>
    <w:rsid w:val="009D61C8"/>
    <w:rsid w:val="00C70417"/>
    <w:rsid w:val="00C75941"/>
    <w:rsid w:val="00D4018B"/>
    <w:rsid w:val="00D84EE5"/>
    <w:rsid w:val="00DD52BD"/>
    <w:rsid w:val="00E05C5A"/>
    <w:rsid w:val="00E05CD4"/>
    <w:rsid w:val="00E50CE9"/>
    <w:rsid w:val="00E56920"/>
    <w:rsid w:val="00EA3CA2"/>
    <w:rsid w:val="00FC4594"/>
    <w:rsid w:val="00FD4036"/>
    <w:rsid w:val="00FE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D328"/>
  <w15:docId w15:val="{535997FA-262F-46ED-AC49-E4B1965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84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4EE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4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4EE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Esra</cp:lastModifiedBy>
  <cp:revision>5</cp:revision>
  <dcterms:created xsi:type="dcterms:W3CDTF">2021-09-13T17:40:00Z</dcterms:created>
  <dcterms:modified xsi:type="dcterms:W3CDTF">2022-09-05T14:07:00Z</dcterms:modified>
</cp:coreProperties>
</file>