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683331" w:rsidP="007F425B">
            <w:pPr>
              <w:pStyle w:val="TableParagraph"/>
              <w:spacing w:line="233" w:lineRule="exact"/>
              <w:ind w:left="0"/>
              <w:jc w:val="left"/>
            </w:pPr>
            <w:r>
              <w:t>Genel Muhasebe-II</w:t>
            </w:r>
            <w:r w:rsidR="00B4749F">
              <w:t xml:space="preserve"> (</w:t>
            </w:r>
            <w:r w:rsidR="00B4749F">
              <w:rPr>
                <w:b/>
                <w:color w:val="000000"/>
                <w:sz w:val="20"/>
                <w:szCs w:val="20"/>
              </w:rPr>
              <w:t>1205261)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B4749F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8D7C72" w:rsidP="00E577CA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0413BF" w:rsidP="00BB79EA">
            <w:pPr>
              <w:pStyle w:val="TableParagraph"/>
              <w:ind w:left="108"/>
              <w:jc w:val="left"/>
            </w:pP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CD2FE0" w:rsidRPr="003236CC">
              <w:t>414.3183000-…</w:t>
            </w:r>
            <w:r w:rsidRPr="003236CC">
              <w:t>2867</w:t>
            </w:r>
            <w:r w:rsidR="00CD2FE0" w:rsidRPr="003236CC">
              <w:t>….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BF31E7" w:rsidP="00BB79EA">
            <w:pPr>
              <w:pStyle w:val="TableParagraph"/>
              <w:ind w:left="108"/>
              <w:jc w:val="left"/>
            </w:pPr>
            <w:r>
              <w:t>Temel Kavramlar ve Muhasebe Sistemi. Bilanço Hesapları. Gelir Tablosu Hesapları, Envanter işlemleri, Sektör bazlı örnek uygulama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BF150A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Bu ders ile öğrencinin işetmelerdeki kaynakları kavraması; gelir tablosu ve satışların maliyeti tablosunu düzenleyebilmesi amaçlanmaktadır.</w:t>
            </w:r>
          </w:p>
        </w:tc>
      </w:tr>
      <w:tr w:rsidR="000413BF" w:rsidRPr="003236CC" w:rsidTr="00D97962">
        <w:trPr>
          <w:trHeight w:val="151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9D096A" w:rsidRDefault="009D096A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Bu dersin sonunda öğrenci </w:t>
            </w:r>
          </w:p>
          <w:p w:rsidR="009D096A" w:rsidRDefault="009D096A" w:rsidP="009D096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Kaynak hesaplarını kaydeder </w:t>
            </w:r>
          </w:p>
          <w:p w:rsidR="009D096A" w:rsidRDefault="009D096A" w:rsidP="009D096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Gelir tablosu uygulaması yapar </w:t>
            </w:r>
          </w:p>
          <w:p w:rsidR="009D096A" w:rsidRDefault="009D096A" w:rsidP="009D096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Satışların maliyeti uygulaması yapar </w:t>
            </w:r>
          </w:p>
          <w:p w:rsidR="009D096A" w:rsidRDefault="009D096A" w:rsidP="009D096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Muhasebe uygulaması yapar </w:t>
            </w:r>
          </w:p>
          <w:p w:rsidR="009D096A" w:rsidRDefault="009D096A" w:rsidP="009D096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Envanter işlemleri yapar </w:t>
            </w:r>
          </w:p>
          <w:p w:rsidR="000413BF" w:rsidRPr="003236CC" w:rsidRDefault="009D096A" w:rsidP="009D096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>Sektör bazlı örnek uygulama yapar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  <w:p w:rsidR="00B4749F" w:rsidRPr="003236CC" w:rsidRDefault="00B4749F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>
              <w:rPr>
                <w:rFonts w:ascii="Trebuchet MS" w:hAnsi="Trebuchet MS"/>
                <w:b/>
              </w:rPr>
              <w:t>(</w:t>
            </w:r>
            <w:r w:rsidRPr="00B4749F">
              <w:rPr>
                <w:rFonts w:ascii="Trebuchet MS" w:hAnsi="Trebuchet MS"/>
                <w:b/>
              </w:rPr>
              <w:t>Dersler yüz yüze yapılacak</w:t>
            </w:r>
            <w:r>
              <w:rPr>
                <w:rFonts w:ascii="Trebuchet MS" w:hAnsi="Trebuchet MS"/>
                <w:b/>
              </w:rPr>
              <w:t>tır</w:t>
            </w:r>
            <w:r w:rsidRPr="00B4749F"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1.Hafta :</w:t>
            </w:r>
            <w:r w:rsidR="0078517F">
              <w:t>Kısa vadeli yabancı kaynakları kaydetmek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</w:t>
            </w:r>
            <w:r w:rsidR="0078517F">
              <w:t>Kısa vadeli yabancı kaynakları kaydetmek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3.Hafta: </w:t>
            </w:r>
            <w:r w:rsidR="0078517F">
              <w:t>Kısa vadeli yabancı kaynakları kaydetmek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4.Hafta:</w:t>
            </w:r>
            <w:r w:rsidR="0078517F">
              <w:t>Öz kaynakları kaydetmek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5.Hafta: </w:t>
            </w:r>
            <w:r w:rsidR="0078517F">
              <w:t>Gelir ve gider hesaplarını belirlemek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6.Hafta: </w:t>
            </w:r>
            <w:r w:rsidR="0078517F">
              <w:t>Gelir tablosu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="00CC1699">
              <w:t>Satışların maliyeti tablosunu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9.Hafta: </w:t>
            </w:r>
            <w:r w:rsidR="00CC1699">
              <w:t>Nazım hesapları kaydetmek</w:t>
            </w:r>
          </w:p>
          <w:p w:rsidR="00A1407E" w:rsidRPr="00CC1699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236CC">
              <w:rPr>
                <w:bCs/>
                <w:lang w:bidi="en-US"/>
              </w:rPr>
              <w:t>10.Hafta:</w:t>
            </w:r>
            <w:r w:rsidR="00CC1699">
              <w:t>Envanter işlemleri yapmak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</w:t>
            </w:r>
            <w:r w:rsidR="00CC1699">
              <w:rPr>
                <w:bCs/>
                <w:lang w:bidi="en-US"/>
              </w:rPr>
              <w:t>:</w:t>
            </w:r>
            <w:r w:rsidR="00CC1699">
              <w:t>Envanter işlemleri yapmak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12.Hafta: </w:t>
            </w:r>
            <w:r w:rsidR="00CC1699">
              <w:t>Sektör bazlı örnek uygulama yapmak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13.Hafta: </w:t>
            </w:r>
            <w:r w:rsidR="00CC1699">
              <w:t>Sektör bazlı örnek uygulama yapmak</w:t>
            </w:r>
          </w:p>
          <w:p w:rsidR="0066600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236CC">
              <w:rPr>
                <w:bCs/>
                <w:lang w:bidi="en-US"/>
              </w:rPr>
              <w:t xml:space="preserve">14.Hafta: </w:t>
            </w:r>
            <w:r w:rsidR="00CC1699">
              <w:t xml:space="preserve">Türk Muhasebe standartlarını </w:t>
            </w:r>
            <w:r w:rsidR="00CC1699" w:rsidRPr="0066600C">
              <w:t>sıralamak</w:t>
            </w:r>
          </w:p>
          <w:p w:rsidR="00BA4CB6" w:rsidRPr="003236CC" w:rsidRDefault="00BA4CB6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66600C">
              <w:t>15</w:t>
            </w:r>
            <w:r>
              <w:rPr>
                <w:bCs/>
                <w:lang w:bidi="en-US"/>
              </w:rPr>
              <w:t>.Hafta:</w:t>
            </w:r>
            <w:r w:rsidR="0066600C">
              <w:t>Türk Muhasebe standartlarını sıralamak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Default="00D40E35" w:rsidP="00D40E35">
            <w:pPr>
              <w:pStyle w:val="TableParagraph"/>
              <w:spacing w:line="233" w:lineRule="exact"/>
              <w:jc w:val="left"/>
            </w:pPr>
            <w:r>
              <w:t>1-Dersler yüz yüze yapılacak</w:t>
            </w:r>
          </w:p>
          <w:p w:rsidR="00AA39FA" w:rsidRDefault="00D40E35" w:rsidP="00D40E35">
            <w:pPr>
              <w:pStyle w:val="TableParagraph"/>
              <w:spacing w:line="233" w:lineRule="exact"/>
              <w:jc w:val="left"/>
            </w:pPr>
            <w:r>
              <w:t>2-Ara sınav tarihleri birim yönetim kurulu tarafından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belirlenecek web sayfasından ilan edilecektir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3-Sınavlar 1 ara sınav(vize) 1 yarıyıl (final) olarak yapılacak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4-Ara sınav %40 yarıyıl sınavı %60 olarak değerlendirilecektir</w:t>
            </w:r>
          </w:p>
          <w:p w:rsidR="00D40E35" w:rsidRPr="003236CC" w:rsidRDefault="00D40E35" w:rsidP="00D40E35">
            <w:pPr>
              <w:pStyle w:val="TableParagraph"/>
              <w:spacing w:line="233" w:lineRule="exact"/>
              <w:jc w:val="left"/>
            </w:pPr>
            <w:r>
              <w:t>5-Sınavlar yüz yüze yapılacaktır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Default="002D1EBC" w:rsidP="002D1EB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  <w:p w:rsidR="00652DAC" w:rsidRDefault="00652DAC" w:rsidP="002D1EB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t>GÜRSOY,Y., (2013). Bilgisayarlı Muhaebe Paket Programlar,Bursa:Ekin</w:t>
            </w:r>
          </w:p>
          <w:p w:rsidR="00652DAC" w:rsidRPr="003236CC" w:rsidRDefault="00652DAC" w:rsidP="002D1EBC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8D7C72" w:rsidP="007F3815">
            <w:pPr>
              <w:pStyle w:val="TableParagraph"/>
              <w:ind w:left="0" w:right="122"/>
              <w:jc w:val="lef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Genel Muhasebe</w:t>
            </w:r>
            <w:r w:rsidR="007F3815">
              <w:rPr>
                <w:rFonts w:eastAsia="Calibri"/>
                <w:b/>
                <w:bCs/>
                <w:sz w:val="20"/>
                <w:szCs w:val="20"/>
              </w:rPr>
              <w:t>-II</w:t>
            </w:r>
          </w:p>
        </w:tc>
        <w:tc>
          <w:tcPr>
            <w:tcW w:w="550" w:type="dxa"/>
          </w:tcPr>
          <w:p w:rsidR="00337FD1" w:rsidRPr="002D6468" w:rsidRDefault="00247B69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247B69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247B69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247B69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B417EA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B417EA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AA" w:rsidRDefault="00AD6DAA" w:rsidP="000413BF">
      <w:r>
        <w:separator/>
      </w:r>
    </w:p>
  </w:endnote>
  <w:endnote w:type="continuationSeparator" w:id="1">
    <w:p w:rsidR="00AD6DAA" w:rsidRDefault="00AD6DAA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AA" w:rsidRDefault="00AD6DAA" w:rsidP="000413BF">
      <w:r>
        <w:separator/>
      </w:r>
    </w:p>
  </w:footnote>
  <w:footnote w:type="continuationSeparator" w:id="1">
    <w:p w:rsidR="00AD6DAA" w:rsidRDefault="00AD6DAA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6BBE1FBB"/>
    <w:multiLevelType w:val="hybridMultilevel"/>
    <w:tmpl w:val="82FA4E70"/>
    <w:lvl w:ilvl="0" w:tplc="088C4550">
      <w:start w:val="1"/>
      <w:numFmt w:val="decimal"/>
      <w:lvlText w:val="%1-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22C1"/>
    <w:rsid w:val="000F1CA9"/>
    <w:rsid w:val="000F7FF5"/>
    <w:rsid w:val="00114F75"/>
    <w:rsid w:val="0013578B"/>
    <w:rsid w:val="001532B3"/>
    <w:rsid w:val="00173D06"/>
    <w:rsid w:val="001B3821"/>
    <w:rsid w:val="001F3000"/>
    <w:rsid w:val="0020267A"/>
    <w:rsid w:val="00232A3E"/>
    <w:rsid w:val="00247B69"/>
    <w:rsid w:val="00276793"/>
    <w:rsid w:val="002A23B3"/>
    <w:rsid w:val="002B08E8"/>
    <w:rsid w:val="002B21D7"/>
    <w:rsid w:val="002D1EBC"/>
    <w:rsid w:val="002F49AE"/>
    <w:rsid w:val="00311190"/>
    <w:rsid w:val="003236CC"/>
    <w:rsid w:val="00325C5A"/>
    <w:rsid w:val="003302F4"/>
    <w:rsid w:val="00337FD1"/>
    <w:rsid w:val="0037195A"/>
    <w:rsid w:val="00371BE3"/>
    <w:rsid w:val="003A61C8"/>
    <w:rsid w:val="003B1C3E"/>
    <w:rsid w:val="003D66B5"/>
    <w:rsid w:val="003E70E9"/>
    <w:rsid w:val="004063AC"/>
    <w:rsid w:val="00426974"/>
    <w:rsid w:val="004435B9"/>
    <w:rsid w:val="00496D74"/>
    <w:rsid w:val="004D23E9"/>
    <w:rsid w:val="004E001A"/>
    <w:rsid w:val="004E21A4"/>
    <w:rsid w:val="0056349A"/>
    <w:rsid w:val="005A2FB8"/>
    <w:rsid w:val="005F1EF8"/>
    <w:rsid w:val="00652DAC"/>
    <w:rsid w:val="0066600C"/>
    <w:rsid w:val="00683331"/>
    <w:rsid w:val="0078517F"/>
    <w:rsid w:val="007C7120"/>
    <w:rsid w:val="007F3815"/>
    <w:rsid w:val="007F425B"/>
    <w:rsid w:val="0082334C"/>
    <w:rsid w:val="008D5989"/>
    <w:rsid w:val="008D7C72"/>
    <w:rsid w:val="00917889"/>
    <w:rsid w:val="00956F39"/>
    <w:rsid w:val="009A0641"/>
    <w:rsid w:val="009A4EA3"/>
    <w:rsid w:val="009D096A"/>
    <w:rsid w:val="009D1EB4"/>
    <w:rsid w:val="00A1407E"/>
    <w:rsid w:val="00A31C1C"/>
    <w:rsid w:val="00A41778"/>
    <w:rsid w:val="00A46877"/>
    <w:rsid w:val="00AA39FA"/>
    <w:rsid w:val="00AC6062"/>
    <w:rsid w:val="00AD6DAA"/>
    <w:rsid w:val="00B21044"/>
    <w:rsid w:val="00B3755D"/>
    <w:rsid w:val="00B417EA"/>
    <w:rsid w:val="00B4749F"/>
    <w:rsid w:val="00B501F0"/>
    <w:rsid w:val="00BA4CB6"/>
    <w:rsid w:val="00BB79EA"/>
    <w:rsid w:val="00BC1875"/>
    <w:rsid w:val="00BF150A"/>
    <w:rsid w:val="00BF31E7"/>
    <w:rsid w:val="00C52020"/>
    <w:rsid w:val="00CC1699"/>
    <w:rsid w:val="00CC748B"/>
    <w:rsid w:val="00CD2FE0"/>
    <w:rsid w:val="00D40E35"/>
    <w:rsid w:val="00D837C5"/>
    <w:rsid w:val="00D97962"/>
    <w:rsid w:val="00E47446"/>
    <w:rsid w:val="00E577CA"/>
    <w:rsid w:val="00E6147C"/>
    <w:rsid w:val="00E6497C"/>
    <w:rsid w:val="00ED0A9D"/>
    <w:rsid w:val="00F766D0"/>
    <w:rsid w:val="00F77B83"/>
    <w:rsid w:val="00FB69D4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3</cp:revision>
  <dcterms:created xsi:type="dcterms:W3CDTF">2022-01-23T10:46:00Z</dcterms:created>
  <dcterms:modified xsi:type="dcterms:W3CDTF">2022-01-29T10:22:00Z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