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F35E" w14:textId="072634A8" w:rsidR="00D06F37" w:rsidRPr="001C2507" w:rsidRDefault="00854E7F" w:rsidP="00E61188">
      <w:pPr>
        <w:spacing w:after="120" w:line="120" w:lineRule="atLeast"/>
        <w:jc w:val="center"/>
        <w:rPr>
          <w:rFonts w:ascii="Times New Roman" w:hAnsi="Times New Roman" w:cs="Times New Roman"/>
          <w:b/>
        </w:rPr>
      </w:pPr>
      <w:r w:rsidRPr="001C2507">
        <w:rPr>
          <w:rFonts w:ascii="Times New Roman" w:hAnsi="Times New Roman" w:cs="Times New Roman"/>
          <w:b/>
        </w:rPr>
        <w:t>DERS İZLENCESİ (</w:t>
      </w:r>
      <w:r w:rsidR="00D640C5">
        <w:rPr>
          <w:rFonts w:ascii="Times New Roman" w:hAnsi="Times New Roman" w:cs="Times New Roman"/>
          <w:b/>
        </w:rPr>
        <w:t>Ortodonti</w:t>
      </w:r>
      <w:r w:rsidR="005F6404" w:rsidRPr="001C2507">
        <w:rPr>
          <w:rFonts w:ascii="Times New Roman" w:hAnsi="Times New Roman" w:cs="Times New Roman"/>
          <w:b/>
        </w:rPr>
        <w:t>-Örgün</w:t>
      </w:r>
      <w:r w:rsidRPr="001C2507"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horzAnchor="margin" w:tblpY="7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"/>
        <w:gridCol w:w="6764"/>
      </w:tblGrid>
      <w:tr w:rsidR="00E61188" w:rsidRPr="001C2507" w14:paraId="025303B8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C93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B8F" w14:textId="28757833" w:rsidR="00E61188" w:rsidRPr="001C2507" w:rsidRDefault="00D640C5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Ortodonti</w:t>
            </w:r>
          </w:p>
        </w:tc>
      </w:tr>
      <w:tr w:rsidR="00883A82" w:rsidRPr="001C2507" w14:paraId="69A2B3B9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8CC" w14:textId="00616F8F" w:rsidR="00883A82" w:rsidRPr="001C2507" w:rsidRDefault="00883A82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80" w14:textId="455266EC" w:rsidR="00883A82" w:rsidRPr="001C2507" w:rsidRDefault="0051007F" w:rsidP="00F729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C2507" w:rsidRPr="001C2507">
              <w:rPr>
                <w:rFonts w:ascii="Times New Roman" w:hAnsi="Times New Roman" w:cs="Times New Roman"/>
                <w:bCs/>
                <w:sz w:val="20"/>
                <w:szCs w:val="20"/>
              </w:rPr>
              <w:t>Teori=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61188" w:rsidRPr="001C2507" w14:paraId="485F6C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A5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DF6" w14:textId="36236E47" w:rsidR="00E61188" w:rsidRPr="001C2507" w:rsidRDefault="00D640C5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1188" w:rsidRPr="001C2507" w14:paraId="189639E4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9C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B49" w14:textId="7D6369B2" w:rsidR="00E61188" w:rsidRPr="001C2507" w:rsidRDefault="00D640C5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Mevlüde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POLAT</w:t>
            </w:r>
          </w:p>
        </w:tc>
      </w:tr>
      <w:tr w:rsidR="00E61188" w:rsidRPr="001C2507" w14:paraId="548D45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66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808" w14:textId="3F147798" w:rsidR="00E61188" w:rsidRPr="001C2507" w:rsidRDefault="00681C88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0C5"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640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1385" w:rsidRPr="001C25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40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3DA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188" w:rsidRPr="001C2507" w14:paraId="09DD415D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FD4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Ofis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A78" w14:textId="17C742CD" w:rsidR="00E61188" w:rsidRPr="001C2507" w:rsidRDefault="00681C88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70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E61188" w:rsidRPr="001C2507" w14:paraId="77EF1EEC" w14:textId="77777777" w:rsidTr="00F72901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241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431" w14:textId="19A32709" w:rsidR="00E61188" w:rsidRPr="001C2507" w:rsidRDefault="00834DC8" w:rsidP="0083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01BF8">
                <w:rPr>
                  <w:rStyle w:val="Kpr"/>
                </w:rPr>
                <w:t>mevludepolat@harran.edu.tr</w:t>
              </w:r>
            </w:hyperlink>
            <w:r w:rsidR="0051007F">
              <w:t xml:space="preserve"> 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0414 318 </w:t>
            </w:r>
            <w:r w:rsidR="00703EB3"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</w:tr>
      <w:tr w:rsidR="00E61188" w:rsidRPr="001C2507" w14:paraId="6019CE4C" w14:textId="77777777" w:rsidTr="00681C88">
        <w:trPr>
          <w:trHeight w:val="543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F25" w14:textId="77777777" w:rsidR="00E61188" w:rsidRPr="001C2507" w:rsidRDefault="00E61188" w:rsidP="00E611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Öğretim Yöntemi ve Ders</w:t>
            </w:r>
          </w:p>
          <w:p w14:paraId="79BC7B2D" w14:textId="4416BE77" w:rsidR="00E61188" w:rsidRPr="00681C88" w:rsidRDefault="00E61188" w:rsidP="00681C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Hazırlık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C33" w14:textId="0C909D7D" w:rsidR="00E61188" w:rsidRPr="001C2507" w:rsidRDefault="00403A18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Yüz-yüze eğitim</w:t>
            </w:r>
            <w:r w:rsidR="008E3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yöntemi</w:t>
            </w:r>
            <w:r w:rsidR="00E61188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konu anlatım. Derse hazırlık aşamasında, öğrenciler ders kaynaklarından her haftanın konusunu </w:t>
            </w:r>
            <w:r w:rsidR="00F44B24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inceleyecektir. </w:t>
            </w:r>
          </w:p>
        </w:tc>
      </w:tr>
      <w:tr w:rsidR="00E61188" w:rsidRPr="001C2507" w14:paraId="410CA55F" w14:textId="77777777" w:rsidTr="00F72901">
        <w:trPr>
          <w:trHeight w:val="66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76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D98" w14:textId="4C1AAA74" w:rsidR="00E61188" w:rsidRPr="001C2507" w:rsidRDefault="0071445C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Ortodonti bilim dalının ne demek olduğu, hastalara nasıl yardımcı olunduğu, ortodonti hastasının tanı ve teşhisi için gerekli bilgiler, görülebilecek </w:t>
            </w:r>
            <w:proofErr w:type="spellStart"/>
            <w:r w:rsidRPr="00714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ortodontik</w:t>
            </w:r>
            <w:proofErr w:type="spellEnd"/>
            <w:r w:rsidRPr="00714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(dişsel, </w:t>
            </w:r>
            <w:proofErr w:type="spellStart"/>
            <w:r w:rsidRPr="00714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iskeletsel</w:t>
            </w:r>
            <w:proofErr w:type="spellEnd"/>
            <w:r w:rsidRPr="00714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ve </w:t>
            </w:r>
            <w:proofErr w:type="spellStart"/>
            <w:r w:rsidRPr="00714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dentofasial</w:t>
            </w:r>
            <w:proofErr w:type="spellEnd"/>
            <w:r w:rsidRPr="00714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anomalilerin tanımlanması. Diş hekimliği öğrencilerine ortodonti ve yapılan tedavileri anlayabilmeleri için temel bilgileri vermek ve ileri yıllarda verilecek olan ortodonti teorik ve pratik dersleri için temel oluşturmak.</w:t>
            </w:r>
          </w:p>
        </w:tc>
      </w:tr>
      <w:tr w:rsidR="00E61188" w:rsidRPr="001C2507" w14:paraId="31F5263E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F98" w14:textId="77777777" w:rsidR="00E61188" w:rsidRPr="001C2507" w:rsidRDefault="00E61188" w:rsidP="00F729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23" w14:textId="77777777" w:rsidR="00E61188" w:rsidRPr="00703EB3" w:rsidRDefault="00E61188" w:rsidP="00F72901">
            <w:pPr>
              <w:pStyle w:val="ListeParagraf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E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Bu dersin sonunda öğrenci;</w:t>
            </w:r>
          </w:p>
          <w:p w14:paraId="69CB27B7" w14:textId="77777777" w:rsidR="0071445C" w:rsidRPr="0071445C" w:rsidRDefault="0071445C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Sefalometrik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filmleri okuyup, 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Steiner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analizi yapar. Ortodontide estetik kavramını öğrenecekler, normal ve anormal durumları analiz eder. </w:t>
            </w:r>
          </w:p>
          <w:p w14:paraId="19511E1E" w14:textId="77777777" w:rsidR="0071445C" w:rsidRPr="0071445C" w:rsidRDefault="0071445C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2. Süt ve sürekli dişlerin prenatal ve 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postnatal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gelişimini öğrenir. 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Ortodontik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tanı araçlarını öğrenip uygular. </w:t>
            </w:r>
          </w:p>
          <w:p w14:paraId="25E1926D" w14:textId="7B4B62CE" w:rsidR="0071445C" w:rsidRPr="0071445C" w:rsidRDefault="0071445C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3. Dişsel ve 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iskeletsel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anomalileri öğrenir. Etiyolojilerine bağlı olarak (doğumsal, 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konjenital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hormonal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sonradan kazanılmış) gelişen 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kraniofasiyal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anomalileri hem görsel olarak görüp</w:t>
            </w:r>
            <w:r w:rsidR="008A2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tanır, hem de 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ortodontik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açıdan önemlerini öğrenir. </w:t>
            </w:r>
          </w:p>
          <w:p w14:paraId="7A80FE6E" w14:textId="77777777" w:rsidR="0071445C" w:rsidRPr="0071445C" w:rsidRDefault="0071445C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4. Büyüme ve gelişimi etkileyen faktörleri öğrenir. Fiziksel büyüme ve gelişim kavramlarını öğrenir. </w:t>
            </w:r>
          </w:p>
          <w:p w14:paraId="4282D10E" w14:textId="77777777" w:rsidR="0071445C" w:rsidRPr="0071445C" w:rsidRDefault="0071445C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5. Baş ve yüzün 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embriyonel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gelişimi (</w:t>
            </w:r>
            <w:proofErr w:type="spellStart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organogenez</w:t>
            </w:r>
            <w:proofErr w:type="spellEnd"/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 öğrenir. Kemik oluşumunu öğrenir. </w:t>
            </w:r>
          </w:p>
          <w:p w14:paraId="42CC480E" w14:textId="41ADC59C" w:rsidR="00E61188" w:rsidRPr="0071445C" w:rsidRDefault="0071445C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44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6. Kemik Büyüme ve Gelişim Mekanizmalarını öğrenir.</w:t>
            </w:r>
          </w:p>
        </w:tc>
      </w:tr>
      <w:tr w:rsidR="00E61188" w:rsidRPr="001C2507" w14:paraId="0AA41477" w14:textId="77777777" w:rsidTr="00F72901">
        <w:trPr>
          <w:trHeight w:val="3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D43E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  <w:p w14:paraId="47831F72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A38DA" w14:textId="7AAA8F2D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184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Büyüme ve gelişim ve tanı 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>(Yüz-yüze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 xml:space="preserve"> Eğitim)</w:t>
            </w:r>
          </w:p>
          <w:p w14:paraId="7C43ADE7" w14:textId="6AF9E6F3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184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Büyüme ve gelişim</w:t>
            </w:r>
            <w:r w:rsidR="005A41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B736549" w14:textId="18BA1972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184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Fiziksel büyüme ve gelişim kavramları</w:t>
            </w:r>
            <w:r w:rsidR="0051007F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(Yüz-yüze Eğitim)</w:t>
            </w:r>
          </w:p>
          <w:p w14:paraId="5511C8A6" w14:textId="7703C018" w:rsidR="00583C3C" w:rsidRPr="00583C3C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Baş ve yüzün </w:t>
            </w:r>
            <w:proofErr w:type="spellStart"/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embriyonel</w:t>
            </w:r>
            <w:proofErr w:type="spellEnd"/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gelişimi (</w:t>
            </w:r>
            <w:proofErr w:type="spellStart"/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organogenez</w:t>
            </w:r>
            <w:proofErr w:type="spellEnd"/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(Yüz-yüze Eğitim)</w:t>
            </w:r>
          </w:p>
          <w:p w14:paraId="481C651B" w14:textId="38BD941B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="005B4FFF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Kemik oluşumu kemik büyüme yerleri</w:t>
            </w:r>
            <w:r w:rsidR="00980F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045FA0D8" w14:textId="5DA61782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Maksilla'nın</w:t>
            </w:r>
            <w:proofErr w:type="spellEnd"/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prenatal kemikleşmesi</w:t>
            </w:r>
            <w:r w:rsidR="00980F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63AA1E63" w14:textId="5E311F34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Mandibula'nın</w:t>
            </w:r>
            <w:proofErr w:type="spellEnd"/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prenatal kemikleşmesi 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105CA458" w14:textId="34E30330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Kemik büyümesi </w:t>
            </w:r>
            <w:proofErr w:type="spellStart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remodelling</w:t>
            </w:r>
            <w:proofErr w:type="spellEnd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translasyon</w:t>
            </w:r>
            <w:proofErr w:type="spellEnd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ve </w:t>
            </w:r>
            <w:proofErr w:type="spellStart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relokasyon</w:t>
            </w:r>
            <w:proofErr w:type="spellEnd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D19786B" w14:textId="75D947FF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Süt ve sürekli dişlerin prenatal ve </w:t>
            </w:r>
            <w:proofErr w:type="spellStart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postnatal</w:t>
            </w:r>
            <w:proofErr w:type="spellEnd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gelişimi ve </w:t>
            </w:r>
            <w:proofErr w:type="spellStart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formulasyonları</w:t>
            </w:r>
            <w:proofErr w:type="spellEnd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7C9A90C5" w14:textId="1B797BDE" w:rsidR="00945399" w:rsidRPr="00611847" w:rsidRDefault="00E61188" w:rsidP="00945399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El-bilek röntgenler</w:t>
            </w:r>
            <w:r w:rsidR="005A41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733CF3C4" w14:textId="61ADA68A" w:rsidR="005A41DC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Süt </w:t>
            </w:r>
            <w:proofErr w:type="spellStart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dentisyon</w:t>
            </w:r>
            <w:proofErr w:type="spellEnd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gelişimi</w:t>
            </w:r>
            <w:r w:rsidR="00980F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18AC0213" w14:textId="2D44E108" w:rsidR="005A41DC" w:rsidRPr="00611847" w:rsidRDefault="005A41DC" w:rsidP="00CE773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Karma </w:t>
            </w:r>
            <w:proofErr w:type="spellStart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dentisyona</w:t>
            </w:r>
            <w:proofErr w:type="spellEnd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geçiş</w:t>
            </w:r>
            <w:r w:rsidR="00980F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32D3B377" w14:textId="30EE89EC" w:rsidR="00E61188" w:rsidRPr="00611847" w:rsidRDefault="00E61188" w:rsidP="00CE773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</w:t>
            </w:r>
            <w:r w:rsidR="00945399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Daimi </w:t>
            </w:r>
            <w:proofErr w:type="spellStart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dentisyonun</w:t>
            </w:r>
            <w:proofErr w:type="spellEnd"/>
            <w:r w:rsidR="00A255F5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kurulması</w:t>
            </w:r>
            <w:r w:rsidR="00980F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619F7880" w14:textId="3571B560" w:rsidR="00583C3C" w:rsidRPr="00583C3C" w:rsidRDefault="00E61188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Süt ve sürekli diş kavisleri, kapanış ilişkileri, süt diş kavsinden sürekli diş kavsine geçişteki mekanizmalar </w:t>
            </w:r>
            <w:r w:rsidR="00583C3C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7393108F" w14:textId="21B367AF" w:rsidR="00980FDC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Dişsel anomaliler (çene içi ve çeneler arasında görülenler) </w:t>
            </w:r>
            <w:r w:rsidR="000B4AE8" w:rsidRPr="00CF1F3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6BEF2892" w14:textId="1D1C8D01" w:rsidR="00980FDC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Ortodontik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düzensizliklerin (dişsel ve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iskeletsel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 sınıflandırılması, klinik görünümlerine göre diş ve çeneleri ilgilendiren anomaliler 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  <w:r w:rsidR="00CF1F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50F45529" w14:textId="29F11659" w:rsidR="00980FDC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="00B85A00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Sefolometrik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nokta ve düzlemler 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873E3EE" w14:textId="1DF50D12" w:rsidR="00980FDC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Sefololmetrik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açıların tanımlanması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6A6F6F7D" w14:textId="6736D480" w:rsidR="000B4AE8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Sefolometrik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analiz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3B28AC17" w14:textId="46E1A74D" w:rsidR="000B4AE8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Hayce-nance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ve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bolton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analizi 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37E105A1" w14:textId="5E5F83AF" w:rsidR="00980FDC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Hayce-nance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ve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bolton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analizi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EA1B7D8" w14:textId="21DAC0A7" w:rsidR="00980FDC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Ortodonti biyomekanik prensipler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2D16C8D0" w14:textId="6E59FCC9" w:rsidR="00980FDC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Ortodonti biyomekanik prensipler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6623FA52" w14:textId="749A9DA0" w:rsidR="00D175AC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Kuvvet ve diş dokularının cevabı</w:t>
            </w:r>
            <w:r w:rsidR="00CF1F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72EA5F85" w14:textId="5AD67988" w:rsidR="00980FDC" w:rsidRPr="00611847" w:rsidRDefault="00980FDC" w:rsidP="00D175A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Rezorbsiyon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tipleri</w:t>
            </w:r>
            <w:r w:rsidR="00D175A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245F5E57" w14:textId="645917EC" w:rsidR="00980FDC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Rezorbsiyon</w:t>
            </w:r>
            <w:proofErr w:type="spellEnd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tipleri</w:t>
            </w:r>
            <w:r w:rsidR="00CF1F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79B2EE2B" w14:textId="359BEBEB" w:rsidR="00980FDC" w:rsidRPr="0061184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Ankraj</w:t>
            </w:r>
            <w:proofErr w:type="spellEnd"/>
            <w:r w:rsidR="00CF1F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054A754" w14:textId="1B6D249F" w:rsidR="00775C1F" w:rsidRPr="00703EB3" w:rsidRDefault="00980FDC" w:rsidP="00775C1F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4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</w:t>
            </w:r>
            <w:r w:rsidR="00D175A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B4AE8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Ankraj</w:t>
            </w:r>
            <w:proofErr w:type="spellEnd"/>
            <w:r w:rsidR="00CF1F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1F3D">
              <w:rPr>
                <w:sz w:val="20"/>
                <w:szCs w:val="20"/>
              </w:rPr>
              <w:t xml:space="preserve"> </w:t>
            </w:r>
            <w:r w:rsidR="00CF1F3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03A18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</w:tc>
      </w:tr>
      <w:tr w:rsidR="00E61188" w:rsidRPr="001C2507" w14:paraId="5C952B4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3360" w14:textId="77777777" w:rsidR="006E1385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</w:p>
          <w:p w14:paraId="7D3075E1" w14:textId="09D2146C" w:rsidR="00E61188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61188"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  <w:p w14:paraId="53B1CFA1" w14:textId="22A05D85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D4CA0" w14:textId="77777777" w:rsidR="006123B8" w:rsidRPr="006123B8" w:rsidRDefault="006123B8" w:rsidP="006123B8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03D166C0" w14:textId="77777777" w:rsidR="006123B8" w:rsidRPr="006123B8" w:rsidRDefault="006123B8" w:rsidP="006123B8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yüze</w:t>
            </w:r>
          </w:p>
          <w:p w14:paraId="135F9850" w14:textId="77777777" w:rsidR="006123B8" w:rsidRPr="006123B8" w:rsidRDefault="006123B8" w:rsidP="006123B8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sınav:     %40</w:t>
            </w:r>
          </w:p>
          <w:p w14:paraId="24B55BF2" w14:textId="5562F041" w:rsidR="00E61188" w:rsidRPr="00611847" w:rsidRDefault="006123B8" w:rsidP="006123B8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 sınavı:  %60</w:t>
            </w:r>
          </w:p>
        </w:tc>
      </w:tr>
      <w:tr w:rsidR="00661F4B" w:rsidRPr="001C2507" w14:paraId="5967340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AED7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E3F08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93C5F" w14:textId="4C265B6D" w:rsidR="00661F4B" w:rsidRPr="001C2507" w:rsidRDefault="00661F4B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52ADF" w14:textId="77777777" w:rsidR="000B4AE8" w:rsidRPr="00611847" w:rsidRDefault="000B4AE8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Ülgen, M. (1993).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Ortodontik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Tedavi Prensipleri. İstanbul: İstanbul Üniversitesi Yayınları. </w:t>
            </w:r>
          </w:p>
          <w:p w14:paraId="3802AB54" w14:textId="77777777" w:rsidR="000B4AE8" w:rsidRPr="00611847" w:rsidRDefault="000B4AE8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Proffit,WR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Fields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HW.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Sarver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DM. (2007). </w:t>
            </w:r>
          </w:p>
          <w:p w14:paraId="6484E58D" w14:textId="1CBA740C" w:rsidR="00661F4B" w:rsidRPr="001C2507" w:rsidRDefault="000B4AE8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Contemporary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Orthodontics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4th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edition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Louis,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Mosby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Elsevier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A711A"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8154652" w14:textId="77777777" w:rsidR="006E1385" w:rsidRPr="001C2507" w:rsidRDefault="006E1385" w:rsidP="00681C88">
      <w:pPr>
        <w:tabs>
          <w:tab w:val="left" w:pos="3306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"/>
        <w:gridCol w:w="694"/>
        <w:gridCol w:w="549"/>
        <w:gridCol w:w="549"/>
        <w:gridCol w:w="398"/>
        <w:gridCol w:w="153"/>
        <w:gridCol w:w="549"/>
        <w:gridCol w:w="549"/>
        <w:gridCol w:w="242"/>
        <w:gridCol w:w="307"/>
        <w:gridCol w:w="550"/>
        <w:gridCol w:w="549"/>
        <w:gridCol w:w="223"/>
        <w:gridCol w:w="326"/>
        <w:gridCol w:w="549"/>
        <w:gridCol w:w="550"/>
        <w:gridCol w:w="37"/>
        <w:gridCol w:w="512"/>
        <w:gridCol w:w="549"/>
        <w:gridCol w:w="550"/>
      </w:tblGrid>
      <w:tr w:rsidR="006E1385" w:rsidRPr="001C2507" w14:paraId="261CE69F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77644E66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5E20A9BF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E1385" w:rsidRPr="001C2507" w14:paraId="1B2A4911" w14:textId="77777777" w:rsidTr="00575755">
        <w:trPr>
          <w:trHeight w:val="312"/>
        </w:trPr>
        <w:tc>
          <w:tcPr>
            <w:tcW w:w="0" w:type="auto"/>
            <w:vAlign w:val="center"/>
          </w:tcPr>
          <w:p w14:paraId="3DC81A4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0A42E2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58BF97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5ED4B6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B718E4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5E6CCD14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0F045F7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2"/>
            <w:vAlign w:val="center"/>
          </w:tcPr>
          <w:p w14:paraId="35CE5076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F1939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3CB8B23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1499F3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711C515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66699860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vAlign w:val="center"/>
          </w:tcPr>
          <w:p w14:paraId="7C077B0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06D74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14:paraId="0F7E0A87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71668BF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14:paraId="0613B7E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3D81FB0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9" w:type="dxa"/>
            <w:gridSpan w:val="2"/>
            <w:vAlign w:val="center"/>
          </w:tcPr>
          <w:p w14:paraId="3E88B9B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10</w:t>
            </w:r>
          </w:p>
        </w:tc>
        <w:tc>
          <w:tcPr>
            <w:tcW w:w="549" w:type="dxa"/>
            <w:vAlign w:val="center"/>
          </w:tcPr>
          <w:p w14:paraId="1E48E6A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11</w:t>
            </w:r>
          </w:p>
        </w:tc>
        <w:tc>
          <w:tcPr>
            <w:tcW w:w="550" w:type="dxa"/>
            <w:vAlign w:val="center"/>
          </w:tcPr>
          <w:p w14:paraId="6DC5CB0A" w14:textId="1C16C7F6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12</w:t>
            </w:r>
          </w:p>
        </w:tc>
        <w:tc>
          <w:tcPr>
            <w:tcW w:w="549" w:type="dxa"/>
            <w:gridSpan w:val="2"/>
            <w:vAlign w:val="center"/>
          </w:tcPr>
          <w:p w14:paraId="580B432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13</w:t>
            </w:r>
          </w:p>
        </w:tc>
        <w:tc>
          <w:tcPr>
            <w:tcW w:w="549" w:type="dxa"/>
            <w:vAlign w:val="center"/>
          </w:tcPr>
          <w:p w14:paraId="431D21F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FADBE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  <w:vAlign w:val="center"/>
          </w:tcPr>
          <w:p w14:paraId="576F3B6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147D10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E1385" w:rsidRPr="001C2507" w14:paraId="0A9FE6BD" w14:textId="77777777" w:rsidTr="00575755">
        <w:trPr>
          <w:trHeight w:val="300"/>
        </w:trPr>
        <w:tc>
          <w:tcPr>
            <w:tcW w:w="0" w:type="auto"/>
          </w:tcPr>
          <w:p w14:paraId="4041D702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643" w:type="dxa"/>
            <w:vAlign w:val="center"/>
          </w:tcPr>
          <w:p w14:paraId="38E24CA8" w14:textId="41078AF7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5CA39635" w14:textId="6016704E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0AC64C8B" w14:textId="7B236442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74732970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109AFB1" w14:textId="66A7A81C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BA5D278" w14:textId="711FC17E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53883623" w14:textId="5799E1FB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2B91BB5A" w14:textId="3AB121E6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10CD2EFC" w14:textId="5B4B3E47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2A90315F" w14:textId="198A31D6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78C2C959" w14:textId="1B8129C2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63B3523E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7166F88D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65A25DF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1B6B9E2D" w14:textId="247206D4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1385" w:rsidRPr="001C2507" w14:paraId="31020153" w14:textId="77777777" w:rsidTr="00575755">
        <w:trPr>
          <w:trHeight w:val="312"/>
        </w:trPr>
        <w:tc>
          <w:tcPr>
            <w:tcW w:w="0" w:type="auto"/>
          </w:tcPr>
          <w:p w14:paraId="33639197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643" w:type="dxa"/>
            <w:vAlign w:val="center"/>
          </w:tcPr>
          <w:p w14:paraId="0DD518CA" w14:textId="76FB4B4E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4324A312" w14:textId="2DAD1525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6F90D163" w14:textId="41A0E810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21BDB9BA" w14:textId="040DD2CF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68AEAAB" w14:textId="19419F34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A594A49" w14:textId="72A9F939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6E8393C8" w14:textId="3D09CFB2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48C94183" w14:textId="782D281B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6BE3211E" w14:textId="64EBB9CD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037A76A3" w14:textId="432A35AB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0C25ECB6" w14:textId="6AE3F921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25F6BD03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05BDED1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23D4C64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64A88BA4" w14:textId="5C8464FE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1385" w:rsidRPr="001C2507" w14:paraId="4A69E474" w14:textId="77777777" w:rsidTr="00575755">
        <w:trPr>
          <w:trHeight w:val="312"/>
        </w:trPr>
        <w:tc>
          <w:tcPr>
            <w:tcW w:w="0" w:type="auto"/>
          </w:tcPr>
          <w:p w14:paraId="34F99276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643" w:type="dxa"/>
            <w:vAlign w:val="center"/>
          </w:tcPr>
          <w:p w14:paraId="65749361" w14:textId="037BF7BE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4446DA43" w14:textId="7A843CD6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6D301700" w14:textId="202EA63E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68EF52F5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404E79DD" w14:textId="377B805A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DA5EC9A" w14:textId="6F3B85CD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01729735" w14:textId="714562C6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241F75C4" w14:textId="00429D04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65F5ABCE" w14:textId="426C5E3F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1CCCEDBE" w14:textId="20AAE6EB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7CC96364" w14:textId="03B06228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54F6FD92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26AA8D3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0DB77DF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2E92A252" w14:textId="0B1DD8AC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1385" w:rsidRPr="001C2507" w14:paraId="3C628282" w14:textId="77777777" w:rsidTr="00575755">
        <w:trPr>
          <w:trHeight w:val="312"/>
        </w:trPr>
        <w:tc>
          <w:tcPr>
            <w:tcW w:w="0" w:type="auto"/>
          </w:tcPr>
          <w:p w14:paraId="5B6E069D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643" w:type="dxa"/>
            <w:vAlign w:val="center"/>
          </w:tcPr>
          <w:p w14:paraId="27009206" w14:textId="222CF594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5BEEB39D" w14:textId="3FF08D5A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6F6D7A27" w14:textId="49A0D77C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55F42E7E" w14:textId="062E7031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3A86939" w14:textId="2DB30B8B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ED97431" w14:textId="77119CF0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374B5664" w14:textId="15F417D8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603E04F4" w14:textId="6D1BE1CA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4651018C" w14:textId="0946BD70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2CB529D5" w14:textId="05F75B5E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3D129F4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0E754AE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44C726CE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7289118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5A52FA8B" w14:textId="1B8C1F13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1385" w:rsidRPr="001C2507" w14:paraId="1CB7CF3C" w14:textId="77777777" w:rsidTr="00575755">
        <w:trPr>
          <w:trHeight w:val="300"/>
        </w:trPr>
        <w:tc>
          <w:tcPr>
            <w:tcW w:w="0" w:type="auto"/>
          </w:tcPr>
          <w:p w14:paraId="2A35912A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643" w:type="dxa"/>
            <w:vAlign w:val="center"/>
          </w:tcPr>
          <w:p w14:paraId="640ECD3A" w14:textId="759D12F6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26E40329" w14:textId="58800E32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145A149D" w14:textId="16D1FC90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5ED580E8" w14:textId="1C1F1BE0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FBF3520" w14:textId="0BEAA74A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565D53C" w14:textId="22D99648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4EB212A6" w14:textId="4575348F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20823875" w14:textId="00ACC12C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3EBCA54A" w14:textId="5C9A7307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661DD7FB" w14:textId="209F7DDA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21F398B2" w14:textId="72AD7F4F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19359658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37D571DB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27DA7C4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7999CF6F" w14:textId="730352D2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711A" w:rsidRPr="001C2507" w14:paraId="5098B5B1" w14:textId="77777777" w:rsidTr="00575755">
        <w:trPr>
          <w:trHeight w:val="300"/>
        </w:trPr>
        <w:tc>
          <w:tcPr>
            <w:tcW w:w="0" w:type="auto"/>
          </w:tcPr>
          <w:p w14:paraId="60016827" w14:textId="31C80585" w:rsidR="007A711A" w:rsidRPr="001C2507" w:rsidRDefault="007A711A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643" w:type="dxa"/>
            <w:vAlign w:val="center"/>
          </w:tcPr>
          <w:p w14:paraId="31059967" w14:textId="1BA8EC08" w:rsidR="007A711A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3EDADA36" w14:textId="6F874C5A" w:rsidR="007A711A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6CF222A1" w14:textId="28B32539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2027729A" w14:textId="7BA7D757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4643804" w14:textId="70FD2A6D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3C5C287" w14:textId="59D04786" w:rsidR="007A711A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44C47D0D" w14:textId="6C3637A9" w:rsidR="007A711A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40FE248E" w14:textId="61998F10" w:rsidR="007A711A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70CD2457" w14:textId="0C31AF57" w:rsidR="007A711A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08F805C2" w14:textId="565CE00D" w:rsidR="007A711A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2E01A989" w14:textId="04F9FC9A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10D1C03E" w14:textId="055C6003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59C8CB56" w14:textId="43DC122E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72D80A8" w14:textId="6CB2464D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77AD5B69" w14:textId="03A428DE" w:rsidR="007A711A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1385" w:rsidRPr="001C2507" w14:paraId="5E70FFEC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5295F8A7" w14:textId="77777777" w:rsidR="006E1385" w:rsidRPr="001C2507" w:rsidRDefault="006E1385" w:rsidP="005757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   PÇ: Program Çıktıları</w:t>
            </w:r>
          </w:p>
        </w:tc>
      </w:tr>
      <w:tr w:rsidR="006E1385" w:rsidRPr="001C2507" w14:paraId="1340DDAA" w14:textId="77777777" w:rsidTr="00575755">
        <w:trPr>
          <w:trHeight w:val="312"/>
        </w:trPr>
        <w:tc>
          <w:tcPr>
            <w:tcW w:w="1371" w:type="dxa"/>
            <w:gridSpan w:val="2"/>
            <w:vAlign w:val="center"/>
          </w:tcPr>
          <w:p w14:paraId="3016F819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96" w:type="dxa"/>
            <w:gridSpan w:val="3"/>
            <w:vAlign w:val="center"/>
          </w:tcPr>
          <w:p w14:paraId="7C38981E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493" w:type="dxa"/>
            <w:gridSpan w:val="4"/>
            <w:vAlign w:val="center"/>
          </w:tcPr>
          <w:p w14:paraId="2230AA3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629" w:type="dxa"/>
            <w:gridSpan w:val="4"/>
            <w:vAlign w:val="center"/>
          </w:tcPr>
          <w:p w14:paraId="3FFEC870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462" w:type="dxa"/>
            <w:gridSpan w:val="4"/>
            <w:vAlign w:val="center"/>
          </w:tcPr>
          <w:p w14:paraId="2C5C3CF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611" w:type="dxa"/>
            <w:gridSpan w:val="3"/>
            <w:vAlign w:val="center"/>
          </w:tcPr>
          <w:p w14:paraId="699BA61F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3F746F0B" w14:textId="53377D2C" w:rsidR="00E61188" w:rsidRPr="001C2507" w:rsidRDefault="00E61188" w:rsidP="00E61188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507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299" w:type="dxa"/>
        <w:tblLayout w:type="fixed"/>
        <w:tblLook w:val="04A0" w:firstRow="1" w:lastRow="0" w:firstColumn="1" w:lastColumn="0" w:noHBand="0" w:noVBand="1"/>
      </w:tblPr>
      <w:tblGrid>
        <w:gridCol w:w="214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E61188" w:rsidRPr="001C2507" w14:paraId="100A973B" w14:textId="77777777" w:rsidTr="00F72901">
        <w:trPr>
          <w:trHeight w:val="465"/>
        </w:trPr>
        <w:tc>
          <w:tcPr>
            <w:tcW w:w="2144" w:type="dxa"/>
            <w:vAlign w:val="center"/>
          </w:tcPr>
          <w:p w14:paraId="70D4BE61" w14:textId="77777777" w:rsidR="00E61188" w:rsidRPr="001C2507" w:rsidRDefault="00E61188" w:rsidP="00F729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7" w:type="dxa"/>
          </w:tcPr>
          <w:p w14:paraId="2C9870B9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477" w:type="dxa"/>
          </w:tcPr>
          <w:p w14:paraId="6F2928D2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477" w:type="dxa"/>
          </w:tcPr>
          <w:p w14:paraId="190FE24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477" w:type="dxa"/>
          </w:tcPr>
          <w:p w14:paraId="11694791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477" w:type="dxa"/>
          </w:tcPr>
          <w:p w14:paraId="0EEB43D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477" w:type="dxa"/>
          </w:tcPr>
          <w:p w14:paraId="72976C5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477" w:type="dxa"/>
          </w:tcPr>
          <w:p w14:paraId="36245DD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477" w:type="dxa"/>
          </w:tcPr>
          <w:p w14:paraId="2C319E5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477" w:type="dxa"/>
          </w:tcPr>
          <w:p w14:paraId="0694F64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77" w:type="dxa"/>
          </w:tcPr>
          <w:p w14:paraId="1BB9E1B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477" w:type="dxa"/>
          </w:tcPr>
          <w:p w14:paraId="4515A32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477" w:type="dxa"/>
          </w:tcPr>
          <w:p w14:paraId="6A207E9B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477" w:type="dxa"/>
          </w:tcPr>
          <w:p w14:paraId="7BA5FB0A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477" w:type="dxa"/>
          </w:tcPr>
          <w:p w14:paraId="299C9CB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477" w:type="dxa"/>
          </w:tcPr>
          <w:p w14:paraId="783478C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61188" w:rsidRPr="001C2507" w14:paraId="536DF363" w14:textId="77777777" w:rsidTr="00F72901">
        <w:trPr>
          <w:trHeight w:val="363"/>
        </w:trPr>
        <w:tc>
          <w:tcPr>
            <w:tcW w:w="2144" w:type="dxa"/>
            <w:vAlign w:val="center"/>
          </w:tcPr>
          <w:p w14:paraId="01586E9B" w14:textId="5C551882" w:rsidR="00E61188" w:rsidRPr="001C2507" w:rsidRDefault="007A711A" w:rsidP="00F729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477" w:type="dxa"/>
            <w:vAlign w:val="center"/>
          </w:tcPr>
          <w:p w14:paraId="3897DE51" w14:textId="05314CD9" w:rsidR="00E61188" w:rsidRPr="001C2507" w:rsidRDefault="000B4AE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35389122" w14:textId="08343C69" w:rsidR="00E61188" w:rsidRPr="001C2507" w:rsidRDefault="000B4AE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5624A423" w14:textId="688846D9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6B9A3F0" w14:textId="243EFABD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2AD30422" w14:textId="0B90B4FE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7C524CF0" w14:textId="1B4CB5C4" w:rsidR="00E61188" w:rsidRPr="001C2507" w:rsidRDefault="000B4AE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7C5E830D" w14:textId="2D158632" w:rsidR="00E61188" w:rsidRPr="001C2507" w:rsidRDefault="000B4AE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50D69144" w14:textId="21D587CB" w:rsidR="00E61188" w:rsidRPr="001C2507" w:rsidRDefault="00703EB3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528FCE2B" w14:textId="1727BC32" w:rsidR="00E61188" w:rsidRPr="001C2507" w:rsidRDefault="000B4AE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71E53A1C" w14:textId="55D47414" w:rsidR="00E61188" w:rsidRPr="001C2507" w:rsidRDefault="000B4AE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01F332FF" w14:textId="3BD09032" w:rsidR="00E61188" w:rsidRPr="001C2507" w:rsidRDefault="000B4AE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69F806A0" w14:textId="77777777" w:rsidR="00E61188" w:rsidRPr="001C2507" w:rsidRDefault="00E6118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6B23057C" w14:textId="77777777" w:rsidR="00E61188" w:rsidRPr="001C2507" w:rsidRDefault="00E6118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39966354" w14:textId="77777777" w:rsidR="00E61188" w:rsidRPr="001C2507" w:rsidRDefault="00E6118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96D5BF7" w14:textId="1D4B0A0A" w:rsidR="00E61188" w:rsidRPr="001C2507" w:rsidRDefault="000B4AE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3C1F02F1" w14:textId="506650EB" w:rsidR="00E61188" w:rsidRDefault="00E61188">
      <w:pPr>
        <w:rPr>
          <w:rFonts w:ascii="Times New Roman" w:hAnsi="Times New Roman" w:cs="Times New Roman"/>
          <w:b/>
        </w:rPr>
      </w:pPr>
    </w:p>
    <w:sectPr w:rsidR="00E61188" w:rsidSect="00D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7AE"/>
    <w:multiLevelType w:val="hybridMultilevel"/>
    <w:tmpl w:val="D02A6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13D7F"/>
    <w:multiLevelType w:val="hybridMultilevel"/>
    <w:tmpl w:val="899CB9A2"/>
    <w:lvl w:ilvl="0" w:tplc="0608B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0FC"/>
    <w:rsid w:val="00094C0D"/>
    <w:rsid w:val="000A1018"/>
    <w:rsid w:val="000B4AE8"/>
    <w:rsid w:val="00164C2D"/>
    <w:rsid w:val="00176C40"/>
    <w:rsid w:val="00185AC6"/>
    <w:rsid w:val="001B5354"/>
    <w:rsid w:val="001C1B4D"/>
    <w:rsid w:val="001C2507"/>
    <w:rsid w:val="002166A4"/>
    <w:rsid w:val="002322AD"/>
    <w:rsid w:val="00260A87"/>
    <w:rsid w:val="002D51B4"/>
    <w:rsid w:val="00352254"/>
    <w:rsid w:val="00384EE6"/>
    <w:rsid w:val="003B43BC"/>
    <w:rsid w:val="003C500A"/>
    <w:rsid w:val="00403A18"/>
    <w:rsid w:val="004865D5"/>
    <w:rsid w:val="00495519"/>
    <w:rsid w:val="004D5B03"/>
    <w:rsid w:val="0051007F"/>
    <w:rsid w:val="00540434"/>
    <w:rsid w:val="00583C3C"/>
    <w:rsid w:val="00585323"/>
    <w:rsid w:val="005A41DC"/>
    <w:rsid w:val="005B4FFF"/>
    <w:rsid w:val="005D4E57"/>
    <w:rsid w:val="005F6404"/>
    <w:rsid w:val="00611847"/>
    <w:rsid w:val="006123B8"/>
    <w:rsid w:val="006564CE"/>
    <w:rsid w:val="00661F4B"/>
    <w:rsid w:val="00681C88"/>
    <w:rsid w:val="006E05BF"/>
    <w:rsid w:val="006E1385"/>
    <w:rsid w:val="00703EB3"/>
    <w:rsid w:val="0071445C"/>
    <w:rsid w:val="00714EB7"/>
    <w:rsid w:val="00723D12"/>
    <w:rsid w:val="00775C1F"/>
    <w:rsid w:val="007A711A"/>
    <w:rsid w:val="00831727"/>
    <w:rsid w:val="00834DC8"/>
    <w:rsid w:val="00851B6C"/>
    <w:rsid w:val="00854E7F"/>
    <w:rsid w:val="00860D28"/>
    <w:rsid w:val="00883A82"/>
    <w:rsid w:val="008A29FB"/>
    <w:rsid w:val="008A483A"/>
    <w:rsid w:val="008B6634"/>
    <w:rsid w:val="008E39AD"/>
    <w:rsid w:val="009110FC"/>
    <w:rsid w:val="00945399"/>
    <w:rsid w:val="009740D9"/>
    <w:rsid w:val="00980FDC"/>
    <w:rsid w:val="009E00D8"/>
    <w:rsid w:val="00A255F5"/>
    <w:rsid w:val="00AB01AA"/>
    <w:rsid w:val="00B50B7A"/>
    <w:rsid w:val="00B56909"/>
    <w:rsid w:val="00B7140F"/>
    <w:rsid w:val="00B85A00"/>
    <w:rsid w:val="00B95BB0"/>
    <w:rsid w:val="00BD6D80"/>
    <w:rsid w:val="00C34BD0"/>
    <w:rsid w:val="00C954D1"/>
    <w:rsid w:val="00CC6D2F"/>
    <w:rsid w:val="00CC7B60"/>
    <w:rsid w:val="00CD02D6"/>
    <w:rsid w:val="00CD237C"/>
    <w:rsid w:val="00CF1F3D"/>
    <w:rsid w:val="00D06F37"/>
    <w:rsid w:val="00D175AC"/>
    <w:rsid w:val="00D640C5"/>
    <w:rsid w:val="00DB7D03"/>
    <w:rsid w:val="00E24912"/>
    <w:rsid w:val="00E61188"/>
    <w:rsid w:val="00F032A4"/>
    <w:rsid w:val="00F1206D"/>
    <w:rsid w:val="00F44B24"/>
    <w:rsid w:val="00F5577B"/>
    <w:rsid w:val="00F65415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CE7"/>
  <w15:docId w15:val="{47064313-4F5D-4DFE-9E05-52A9ADAA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110FC"/>
    <w:rPr>
      <w:b/>
      <w:bCs/>
    </w:rPr>
  </w:style>
  <w:style w:type="paragraph" w:styleId="ListeParagraf">
    <w:name w:val="List Paragraph"/>
    <w:basedOn w:val="Normal"/>
    <w:uiPriority w:val="34"/>
    <w:qFormat/>
    <w:rsid w:val="009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11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6118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11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vludepolat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Yönetim Bilimi</vt:lpstr>
    </vt:vector>
  </TitlesOfParts>
  <Company>MoTuN TncTR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Yönetim Bilimi</dc:title>
  <dc:creator>Arş. Gör. Ali Burak AKSUNGUR</dc:creator>
  <cp:lastModifiedBy>Abdullah Göçmez</cp:lastModifiedBy>
  <cp:revision>21</cp:revision>
  <dcterms:created xsi:type="dcterms:W3CDTF">2020-09-02T06:11:00Z</dcterms:created>
  <dcterms:modified xsi:type="dcterms:W3CDTF">2021-09-15T12:43:00Z</dcterms:modified>
</cp:coreProperties>
</file>