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0A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AA20A5" w:rsidRPr="00344B36" w:rsidRDefault="00AA20A5" w:rsidP="00AA20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2B6AF5FD" w:rsidR="00AA20A5" w:rsidRPr="00AA20A5" w:rsidRDefault="00AA20A5" w:rsidP="00AA20A5">
                  <w:pPr>
                    <w:rPr>
                      <w:sz w:val="22"/>
                      <w:szCs w:val="22"/>
                    </w:rPr>
                  </w:pPr>
                  <w:r w:rsidRPr="00AA20A5">
                    <w:rPr>
                      <w:sz w:val="22"/>
                      <w:szCs w:val="22"/>
                    </w:rPr>
                    <w:t>İÇ DENETÇİ</w:t>
                  </w:r>
                </w:p>
              </w:tc>
            </w:tr>
            <w:tr w:rsidR="00AA20A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AA20A5" w:rsidRPr="00344B36" w:rsidRDefault="00AA20A5" w:rsidP="00AA20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AA20A5" w:rsidRPr="00AA20A5" w:rsidRDefault="00AA20A5" w:rsidP="00AA20A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A20A5" w:rsidRPr="00344B36" w14:paraId="24464901" w14:textId="77777777" w:rsidTr="00AA20A5">
              <w:trPr>
                <w:trHeight w:val="70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AA20A5" w:rsidRPr="00344B36" w:rsidRDefault="00AA20A5" w:rsidP="00AA20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B097238" w:rsidR="00AA20A5" w:rsidRPr="00AA20A5" w:rsidRDefault="00AA20A5" w:rsidP="00AA20A5">
                  <w:pPr>
                    <w:rPr>
                      <w:sz w:val="22"/>
                      <w:szCs w:val="22"/>
                    </w:rPr>
                  </w:pPr>
                  <w:r w:rsidRPr="00AA20A5">
                    <w:rPr>
                      <w:sz w:val="22"/>
                      <w:szCs w:val="22"/>
                    </w:rPr>
                    <w:t>İÇ DENETİM BİRİM BAŞKANI</w:t>
                  </w:r>
                </w:p>
              </w:tc>
            </w:tr>
            <w:tr w:rsidR="00AA20A5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AA20A5" w:rsidRPr="00344B36" w:rsidRDefault="00AA20A5" w:rsidP="00AA20A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48D4ABE" w14:textId="77777777" w:rsidR="00AA20A5" w:rsidRPr="00AA20A5" w:rsidRDefault="00AA20A5" w:rsidP="00AA20A5">
                  <w:pPr>
                    <w:rPr>
                      <w:sz w:val="22"/>
                      <w:szCs w:val="22"/>
                    </w:rPr>
                  </w:pPr>
                </w:p>
                <w:p w14:paraId="2F7AF4C0" w14:textId="77777777" w:rsidR="00AA20A5" w:rsidRPr="00AA20A5" w:rsidRDefault="00AA20A5" w:rsidP="00AA20A5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546EC8BA" w14:textId="0CC50332" w:rsidR="00AA20A5" w:rsidRDefault="00AA20A5" w:rsidP="00AA20A5">
            <w:pPr>
              <w:spacing w:line="360" w:lineRule="auto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</w:t>
            </w:r>
          </w:p>
          <w:p w14:paraId="7D184D6F" w14:textId="77777777" w:rsidR="00AA20A5" w:rsidRPr="00AA20A5" w:rsidRDefault="00AA20A5" w:rsidP="00AA20A5">
            <w:pPr>
              <w:spacing w:line="360" w:lineRule="auto"/>
              <w:rPr>
                <w:sz w:val="22"/>
                <w:szCs w:val="22"/>
              </w:rPr>
            </w:pPr>
          </w:p>
          <w:p w14:paraId="737D22CA" w14:textId="77777777" w:rsidR="00AA20A5" w:rsidRPr="009315F9" w:rsidRDefault="00AA20A5" w:rsidP="00AA20A5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5395ED12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Nesnel risk analizlerine dayanarak kamu idarelerinin yönetim ve kontrol yapılarını değerlendirmek</w:t>
            </w:r>
          </w:p>
          <w:p w14:paraId="39B4B02B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Kaynakların etkili, ekonomik ve verimli kullanılması bakımından incelemeler yapmak ve önerilerde bulunmak</w:t>
            </w:r>
          </w:p>
          <w:p w14:paraId="63D73949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Harcama sonrasında yasal uygunluk denetimi yapmak</w:t>
            </w:r>
          </w:p>
          <w:p w14:paraId="52BD934A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İdarenin harcamalarının, malî işlemlere ilişkin karar ve tasarruflarının, amaç ve politikalara, kalkınma planına, programlara, stratejik planlara ve performans programlarına uygunluğunu denetlemek ve değerlendirmek</w:t>
            </w:r>
          </w:p>
          <w:p w14:paraId="4DC85BB1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Malî yönetim ve kontrol süreçlerinin sistem denetimini yapmak ve bu konularda önerilerde bulunmak</w:t>
            </w:r>
          </w:p>
          <w:p w14:paraId="1A727F07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sonuçları çerçevesinde iyileştirmelere yönelik önerilerde bulunmak ve bunları takip etmek</w:t>
            </w:r>
          </w:p>
          <w:p w14:paraId="357FEE55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sırasında veya denetim sonuçlarına göre soruşturma açılmasını gerektirecek bir duruma rastlanıldığında, ilgili idarenin en üst amirine bildirmek</w:t>
            </w:r>
          </w:p>
          <w:p w14:paraId="07E714F7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Kamu idaresince üretilen bilgilerin doğruluğunu denetlemek</w:t>
            </w:r>
          </w:p>
          <w:p w14:paraId="471BF24A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Üst yönetici tarafından gerekli görülen hallerde performans göstergelerini belirlemede yardımcı olmak, belirlenen performans göstergelerinin uygulanabilirliğini değerlendirmek</w:t>
            </w:r>
          </w:p>
          <w:p w14:paraId="162AE152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Suç teşkil eden durumlara ilişkin tespitlerini üst yöneticiye bildirmek</w:t>
            </w:r>
          </w:p>
          <w:p w14:paraId="0612B181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konusuyla ilgili elektronik ortamdakiler dahil her türlü bilgi, belge ve dokümanlar ile nakit, kıymetli evrak ve diğer varlıkların ibrazını ve gösterilmesini talep etmek</w:t>
            </w:r>
          </w:p>
          <w:p w14:paraId="16304382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Denetlenen birim çalışanlarından, iç denetim faaliyetlerinin gereği olarak yardım almak, yazılı ve sözlü bilgi istemek</w:t>
            </w:r>
          </w:p>
          <w:p w14:paraId="549A9B0E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faaliyetinin gerektirdiği araç, gereç ve diğer imkanlardan yararlanmak</w:t>
            </w:r>
          </w:p>
          <w:p w14:paraId="4A3B5734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Denetimi engelleyici tutum, davranış ve hareketleri üst yöneticinin bilgisine intikal ettirmek</w:t>
            </w:r>
          </w:p>
          <w:p w14:paraId="618D4E0A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 xml:space="preserve">Mevzuata, iç denetim yönergesine, denetim ve raporlama standartlarına ve etik kurallara uygun </w:t>
            </w:r>
            <w:r w:rsidRPr="00AA20A5">
              <w:rPr>
                <w:sz w:val="22"/>
                <w:szCs w:val="22"/>
              </w:rPr>
              <w:lastRenderedPageBreak/>
              <w:t>hareket etmek</w:t>
            </w:r>
          </w:p>
          <w:p w14:paraId="04F7C1E8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Mesleki bilgi ve becerilerini sürekli olarak geliştirmek</w:t>
            </w:r>
          </w:p>
          <w:p w14:paraId="2FD6A6D1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denetim faaliyetlerinde yetki ve ehliyetini aşan durumlarda iç denetim birimi başkanını haberdar etmek</w:t>
            </w:r>
          </w:p>
          <w:p w14:paraId="58CA68FB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Verilen görevin tarafsız ve bağımsız olarak yapılmasına engel olan durumların bulunması halinde, durumu iç denetim birimi başkanına bildirmek</w:t>
            </w:r>
          </w:p>
          <w:p w14:paraId="682A42D8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raporlarında kanıtlara dayanmak ve değerlendirmelerinde objektif olmak</w:t>
            </w:r>
          </w:p>
          <w:p w14:paraId="6B088F02" w14:textId="4EA04A1F" w:rsid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Denetim esnasında elde ettiği bilgilerin gizliliğini korumak</w:t>
            </w:r>
          </w:p>
          <w:p w14:paraId="76485B2E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4263210F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  <w:u w:val="single"/>
              </w:rPr>
            </w:pPr>
            <w:r w:rsidRPr="00AA20A5">
              <w:rPr>
                <w:sz w:val="22"/>
                <w:szCs w:val="22"/>
                <w:u w:val="single"/>
              </w:rPr>
              <w:t>İÇ DENETÇİLERİN BAĞIMSIZLIĞI</w:t>
            </w:r>
          </w:p>
          <w:p w14:paraId="6FF8147D" w14:textId="11044F01" w:rsid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denetçiler, iç denetim faaliyetine ilişkin görevlerini yerine getirirken bağımsız olarak hareket eder</w:t>
            </w:r>
            <w:r>
              <w:rPr>
                <w:sz w:val="22"/>
                <w:szCs w:val="22"/>
              </w:rPr>
              <w:t>,</w:t>
            </w:r>
          </w:p>
          <w:p w14:paraId="6D5790F5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B36E9A9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  <w:u w:val="single"/>
              </w:rPr>
            </w:pPr>
            <w:r w:rsidRPr="00AA20A5">
              <w:rPr>
                <w:sz w:val="22"/>
                <w:szCs w:val="22"/>
                <w:u w:val="single"/>
              </w:rPr>
              <w:t>İÇ DENETÇİLERİN TARAFSIZLIĞI</w:t>
            </w:r>
          </w:p>
          <w:p w14:paraId="24AEC1C0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denetçiler, görevlerini yerine getirirken tarafsız davranır</w:t>
            </w:r>
          </w:p>
          <w:p w14:paraId="5F4BB5EB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 çalışmalarında; denetimin kalitesinden ödün vermeden, başkalarının düşünce ve telkinlerinden etkilenmeden kanaat oluşturur</w:t>
            </w:r>
          </w:p>
          <w:p w14:paraId="768EEA09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denetim birimi başkanı, iç denetçilerin görevlendirilmesinde, tarafsızlıklarını zedeleyecek hususları dikkate alır</w:t>
            </w:r>
          </w:p>
          <w:p w14:paraId="63B54A29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denetçiler, faaliyetlerini sürdürürken bağımsızlık ve tarafsızlıklarını zedeleyebilecek bir durumla karşılaşmaları halinde iç denetim birimi başkanına, iç denetim birimi başkanı görevlendirilmemişse üst yöneticiye yazılı olarak başvurur</w:t>
            </w:r>
          </w:p>
          <w:p w14:paraId="3CEB0081" w14:textId="5360FEAA" w:rsid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denetçiler, daha önceden görev yaptıkları idari birimlerde bir yıl geçmeden iç denetim yapamazlar</w:t>
            </w:r>
          </w:p>
          <w:p w14:paraId="4B169CBE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1E7F2723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  <w:u w:val="single"/>
              </w:rPr>
            </w:pPr>
            <w:r w:rsidRPr="00AA20A5">
              <w:rPr>
                <w:sz w:val="22"/>
                <w:szCs w:val="22"/>
                <w:u w:val="single"/>
              </w:rPr>
              <w:t>İÇ DENETÇİLERİN GÜVENCESİ</w:t>
            </w:r>
          </w:p>
          <w:p w14:paraId="0F0D2E21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denetçilere bu Yönetmelik iç denetim yönergelerinde belirtilen görevler dışında hiçbir görev verilemez ve yaptırılamaz</w:t>
            </w:r>
          </w:p>
          <w:p w14:paraId="07AF5540" w14:textId="27AD7A6A" w:rsid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İç denetçiler 24’üncü maddenin ikinci fıkrası hükmü saklı kalmak kaydıyla, hiçbir şekilde istekleri dışında başka bir göreve atanamazlar</w:t>
            </w:r>
            <w:r>
              <w:rPr>
                <w:sz w:val="22"/>
                <w:szCs w:val="22"/>
              </w:rPr>
              <w:t>.</w:t>
            </w:r>
          </w:p>
          <w:p w14:paraId="5B117098" w14:textId="77777777" w:rsidR="00AA20A5" w:rsidRPr="00AA20A5" w:rsidRDefault="00AA20A5" w:rsidP="00AA20A5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6A4F788" w14:textId="77777777" w:rsidR="00AA20A5" w:rsidRPr="009315F9" w:rsidRDefault="00AA20A5" w:rsidP="00AA20A5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4FEE362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657 sayılı Devlet Memurları Kanunu</w:t>
            </w:r>
          </w:p>
          <w:p w14:paraId="6165FC3E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Birincil Düzey Mevzuat</w:t>
            </w:r>
          </w:p>
          <w:p w14:paraId="208AC7F8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İkincil Düzey Mevzuat</w:t>
            </w:r>
          </w:p>
          <w:p w14:paraId="072628B9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lastRenderedPageBreak/>
              <w:t>Üçüncül Düzey Mevzuat</w:t>
            </w:r>
          </w:p>
          <w:p w14:paraId="5DF4FA73" w14:textId="77777777" w:rsidR="00AA20A5" w:rsidRPr="00AA20A5" w:rsidRDefault="00AA20A5" w:rsidP="00AA20A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AA20A5">
              <w:rPr>
                <w:sz w:val="22"/>
                <w:szCs w:val="22"/>
              </w:rPr>
              <w:t>Bütün Kanun, Tüzük ve Yönetmelikler</w:t>
            </w:r>
          </w:p>
          <w:p w14:paraId="3DEF00DB" w14:textId="77777777" w:rsidR="00AA20A5" w:rsidRPr="009315F9" w:rsidRDefault="00AA20A5" w:rsidP="009315F9">
            <w:pPr>
              <w:spacing w:line="360" w:lineRule="auto"/>
              <w:rPr>
                <w:sz w:val="22"/>
                <w:szCs w:val="22"/>
              </w:rPr>
            </w:pPr>
          </w:p>
          <w:p w14:paraId="4CA2D2AD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4BE8FA6C" w14:textId="77777777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8C3D" w14:textId="77777777" w:rsidR="00695669" w:rsidRDefault="00695669" w:rsidP="0072515F">
      <w:r>
        <w:separator/>
      </w:r>
    </w:p>
  </w:endnote>
  <w:endnote w:type="continuationSeparator" w:id="0">
    <w:p w14:paraId="18F8E6E9" w14:textId="77777777" w:rsidR="00695669" w:rsidRDefault="0069566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8BBA" w14:textId="77777777" w:rsidR="003E01B6" w:rsidRDefault="003E01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A71AC39" w:rsidR="00D018D2" w:rsidRPr="001E3951" w:rsidRDefault="005E5D7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1B672EAA" w:rsidR="00D018D2" w:rsidRPr="001E3951" w:rsidRDefault="005E5D7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A4147" w14:textId="77777777" w:rsidR="003E01B6" w:rsidRDefault="003E01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B908E" w14:textId="77777777" w:rsidR="00695669" w:rsidRDefault="00695669" w:rsidP="0072515F">
      <w:r>
        <w:separator/>
      </w:r>
    </w:p>
  </w:footnote>
  <w:footnote w:type="continuationSeparator" w:id="0">
    <w:p w14:paraId="79646925" w14:textId="77777777" w:rsidR="00695669" w:rsidRDefault="0069566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96D84" w14:textId="77777777" w:rsidR="003E01B6" w:rsidRDefault="003E01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80C21CB" w:rsidR="000D250F" w:rsidRPr="00D82ADE" w:rsidRDefault="00AA20A5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AA20A5">
            <w:rPr>
              <w:b/>
              <w:sz w:val="24"/>
              <w:szCs w:val="24"/>
            </w:rPr>
            <w:t xml:space="preserve">İÇ DENETÇİ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64FE30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AA20A5">
            <w:t>79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1561EED7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5E5D73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695669">
            <w:fldChar w:fldCharType="begin"/>
          </w:r>
          <w:r w:rsidR="00695669">
            <w:instrText>NUMPAGES  \* Arabic  \* MERGEFORMAT</w:instrText>
          </w:r>
          <w:r w:rsidR="00695669">
            <w:fldChar w:fldCharType="separate"/>
          </w:r>
          <w:r w:rsidR="005E5D73">
            <w:rPr>
              <w:noProof/>
            </w:rPr>
            <w:t>3</w:t>
          </w:r>
          <w:r w:rsidR="00695669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F8DB5" w14:textId="77777777" w:rsidR="003E01B6" w:rsidRDefault="003E01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5D1CCF"/>
    <w:multiLevelType w:val="hybridMultilevel"/>
    <w:tmpl w:val="D4F2F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B303C8"/>
    <w:multiLevelType w:val="hybridMultilevel"/>
    <w:tmpl w:val="0E0C3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2D24"/>
    <w:multiLevelType w:val="hybridMultilevel"/>
    <w:tmpl w:val="4BEAA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AB20F31"/>
    <w:multiLevelType w:val="hybridMultilevel"/>
    <w:tmpl w:val="0164C1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233C0"/>
    <w:multiLevelType w:val="hybridMultilevel"/>
    <w:tmpl w:val="31D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20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3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8"/>
  </w:num>
  <w:num w:numId="4">
    <w:abstractNumId w:val="12"/>
  </w:num>
  <w:num w:numId="5">
    <w:abstractNumId w:val="7"/>
  </w:num>
  <w:num w:numId="6">
    <w:abstractNumId w:val="15"/>
  </w:num>
  <w:num w:numId="7">
    <w:abstractNumId w:val="13"/>
  </w:num>
  <w:num w:numId="8">
    <w:abstractNumId w:val="3"/>
  </w:num>
  <w:num w:numId="9">
    <w:abstractNumId w:val="22"/>
  </w:num>
  <w:num w:numId="10">
    <w:abstractNumId w:val="10"/>
  </w:num>
  <w:num w:numId="11">
    <w:abstractNumId w:val="19"/>
  </w:num>
  <w:num w:numId="12">
    <w:abstractNumId w:val="27"/>
  </w:num>
  <w:num w:numId="13">
    <w:abstractNumId w:val="30"/>
  </w:num>
  <w:num w:numId="14">
    <w:abstractNumId w:val="18"/>
  </w:num>
  <w:num w:numId="15">
    <w:abstractNumId w:val="2"/>
  </w:num>
  <w:num w:numId="16">
    <w:abstractNumId w:val="20"/>
  </w:num>
  <w:num w:numId="17">
    <w:abstractNumId w:val="11"/>
  </w:num>
  <w:num w:numId="18">
    <w:abstractNumId w:val="9"/>
  </w:num>
  <w:num w:numId="19">
    <w:abstractNumId w:val="24"/>
    <w:lvlOverride w:ilvl="0">
      <w:startOverride w:val="1"/>
    </w:lvlOverride>
  </w:num>
  <w:num w:numId="20">
    <w:abstractNumId w:val="29"/>
  </w:num>
  <w:num w:numId="21">
    <w:abstractNumId w:val="0"/>
  </w:num>
  <w:num w:numId="22">
    <w:abstractNumId w:val="25"/>
  </w:num>
  <w:num w:numId="23">
    <w:abstractNumId w:val="23"/>
  </w:num>
  <w:num w:numId="24">
    <w:abstractNumId w:val="16"/>
  </w:num>
  <w:num w:numId="25">
    <w:abstractNumId w:val="21"/>
  </w:num>
  <w:num w:numId="26">
    <w:abstractNumId w:val="26"/>
  </w:num>
  <w:num w:numId="27">
    <w:abstractNumId w:val="5"/>
  </w:num>
  <w:num w:numId="28">
    <w:abstractNumId w:val="4"/>
  </w:num>
  <w:num w:numId="29">
    <w:abstractNumId w:val="14"/>
  </w:num>
  <w:num w:numId="30">
    <w:abstractNumId w:val="1"/>
  </w:num>
  <w:num w:numId="31">
    <w:abstractNumId w:val="6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E01B6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E5D73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95669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A20A5"/>
    <w:rsid w:val="00AB1F2D"/>
    <w:rsid w:val="00AC15E0"/>
    <w:rsid w:val="00AC29DF"/>
    <w:rsid w:val="00AC3081"/>
    <w:rsid w:val="00AD65CC"/>
    <w:rsid w:val="00AE379E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90278-2FED-48BA-BDB1-437250A09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2022-11-09T08:03:00Z</dcterms:modified>
</cp:coreProperties>
</file>