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219D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Makro İktisat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2219DE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2219DE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10</w:t>
            </w:r>
            <w:r w:rsidR="00912CF8">
              <w:rPr>
                <w:sz w:val="20"/>
              </w:rPr>
              <w:t xml:space="preserve">:00 – </w:t>
            </w:r>
            <w:r>
              <w:rPr>
                <w:sz w:val="20"/>
              </w:rPr>
              <w:t>11</w:t>
            </w:r>
            <w:r w:rsidR="00912CF8">
              <w:rPr>
                <w:sz w:val="20"/>
              </w:rPr>
              <w:t>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97279E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2219DE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t>Bu dersin amacı, Makro İktisat teorileri çerçevesinde iktisadi olgu ve olayların kavranması ve analiz yeterliliği kazandırmaktır.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>1. İktisat biliminin ortaya çıkaran ekonomik koşulların gelişimini öğrenir.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 xml:space="preserve">2. İktisadi olguları analiz etmede kullanılan mikro ve makro analiz ayrımını 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 w:rsidRPr="002219DE">
              <w:rPr>
                <w:sz w:val="20"/>
              </w:rPr>
              <w:t>öğrenir</w:t>
            </w:r>
            <w:proofErr w:type="gramEnd"/>
            <w:r w:rsidRPr="002219DE">
              <w:rPr>
                <w:sz w:val="20"/>
              </w:rPr>
              <w:t>.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 xml:space="preserve">3. Ekonomilerin temel hedefleri ve makro iktisatta kullanılan temel teori ve 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 w:rsidRPr="002219DE">
              <w:rPr>
                <w:sz w:val="20"/>
              </w:rPr>
              <w:t>kavramları</w:t>
            </w:r>
            <w:proofErr w:type="gramEnd"/>
            <w:r w:rsidRPr="002219DE">
              <w:rPr>
                <w:sz w:val="20"/>
              </w:rPr>
              <w:t xml:space="preserve"> öğrenir.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>4. Fiyat istikrarı koşulları ve ekonomi üzerindeki etkilerini kavrar.</w:t>
            </w:r>
          </w:p>
          <w:p w:rsidR="002219DE" w:rsidRDefault="002219DE" w:rsidP="002219DE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2219DE">
              <w:rPr>
                <w:sz w:val="20"/>
              </w:rPr>
              <w:t xml:space="preserve">5. İstihdam oluşumunu açıklayan teori ve kavramları öğrenir. </w:t>
            </w:r>
          </w:p>
          <w:p w:rsidR="00912CF8" w:rsidRDefault="002219DE" w:rsidP="002219DE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2219DE">
              <w:rPr>
                <w:sz w:val="20"/>
              </w:rPr>
              <w:t>6. Büyüme teorileri ve ekonomik dengedeki etkilerini kavrar.</w:t>
            </w:r>
          </w:p>
        </w:tc>
      </w:tr>
      <w:tr w:rsidR="006E6747">
        <w:trPr>
          <w:trHeight w:val="230"/>
        </w:trPr>
        <w:tc>
          <w:tcPr>
            <w:tcW w:w="2407" w:type="dxa"/>
            <w:vMerge w:val="restart"/>
          </w:tcPr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6E6747" w:rsidRDefault="006E6747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6E6747" w:rsidRDefault="006E6747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19DE">
              <w:rPr>
                <w:b/>
                <w:sz w:val="20"/>
                <w:szCs w:val="20"/>
              </w:rPr>
              <w:t xml:space="preserve">1. Hafta: </w:t>
            </w:r>
            <w:r w:rsidR="002219DE" w:rsidRPr="002219DE">
              <w:rPr>
                <w:sz w:val="20"/>
                <w:szCs w:val="20"/>
              </w:rPr>
              <w:t>Makro iktisadın ilgi alanları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Milli Gelir Muhasebesi ve Milli Gelir ile İlgili Kavramlar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Tüketim-Tasarruf İlişkisi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Yatırımlar ve Kamu Harcamaları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Denge Geliri ve Harcamalarda Değişim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rPr>
                <w:sz w:val="20"/>
                <w:szCs w:val="20"/>
              </w:rPr>
              <w:t>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Maliye Politikası Amaç ve Araçları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Bütçe Dengesi ve Borçlanma Politikaları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Paranın Fonksiyonu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Paranın Evrimi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rPr>
                <w:sz w:val="20"/>
                <w:szCs w:val="20"/>
              </w:rPr>
              <w:t>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Para ve Bankacılık Sistemi</w:t>
            </w:r>
          </w:p>
        </w:tc>
      </w:tr>
      <w:tr w:rsidR="006E6747" w:rsidTr="00EE57D6">
        <w:trPr>
          <w:trHeight w:val="7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Enflasyon Teorileri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Dış Ticaret Dengesi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6E6747" w:rsidRDefault="006E6747" w:rsidP="002219DE">
            <w:pPr>
              <w:rPr>
                <w:b/>
                <w:sz w:val="20"/>
                <w:szCs w:val="20"/>
              </w:rPr>
            </w:pPr>
            <w:r w:rsidRPr="006E6747">
              <w:rPr>
                <w:b/>
                <w:sz w:val="20"/>
                <w:szCs w:val="20"/>
              </w:rPr>
              <w:t xml:space="preserve">15. </w:t>
            </w:r>
            <w:proofErr w:type="gramStart"/>
            <w:r w:rsidRPr="006E6747">
              <w:rPr>
                <w:b/>
                <w:sz w:val="20"/>
                <w:szCs w:val="20"/>
              </w:rPr>
              <w:t xml:space="preserve">Hafta : </w:t>
            </w:r>
            <w:r w:rsidR="002219DE">
              <w:t>Ekonomik</w:t>
            </w:r>
            <w:proofErr w:type="gramEnd"/>
            <w:r w:rsidR="002219DE">
              <w:t xml:space="preserve"> Büyüme ve Kalkınma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97279E" w:rsidRPr="00AC5D10" w:rsidRDefault="0097279E" w:rsidP="0097279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97279E" w:rsidRPr="00AC5D10" w:rsidRDefault="0097279E" w:rsidP="0097279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97279E" w:rsidRPr="00AC5D10" w:rsidRDefault="0097279E" w:rsidP="0097279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97279E" w:rsidRPr="00AC5D10" w:rsidRDefault="0097279E" w:rsidP="0097279E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97279E" w:rsidRPr="00AC5D10" w:rsidRDefault="0097279E" w:rsidP="0097279E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FA049F" w:rsidRDefault="0097279E" w:rsidP="0097279E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C41486" w:rsidRDefault="002219DE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t>Türkay, O</w:t>
            </w:r>
            <w:proofErr w:type="gramStart"/>
            <w:r>
              <w:t>.,</w:t>
            </w:r>
            <w:proofErr w:type="gramEnd"/>
            <w:r>
              <w:t xml:space="preserve"> Alkin, E. (2001). İktisada Giriş. Eskişehir: Anadolu Üniversitesi Yayınları. Yıldırım, K. (2014). İktisada Giriş. Ankara: Nisan Yayınevi.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DF6526">
        <w:tc>
          <w:tcPr>
            <w:tcW w:w="9284" w:type="dxa"/>
            <w:gridSpan w:val="16"/>
          </w:tcPr>
          <w:p w:rsidR="00CE5F87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DF6526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DF6526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DF6526">
        <w:tc>
          <w:tcPr>
            <w:tcW w:w="1095" w:type="dxa"/>
          </w:tcPr>
          <w:p w:rsidR="00CE5F87" w:rsidRDefault="00CE5F87" w:rsidP="00DF6526"/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DF6526">
        <w:tc>
          <w:tcPr>
            <w:tcW w:w="1095" w:type="dxa"/>
          </w:tcPr>
          <w:p w:rsidR="00CE5F87" w:rsidRPr="00D91A2D" w:rsidRDefault="00CE5F87" w:rsidP="00DF6526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/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4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27" w:type="dxa"/>
          </w:tcPr>
          <w:p w:rsidR="00CE5F87" w:rsidRDefault="00CE5F87" w:rsidP="00DF6526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2219DE"/>
    <w:rsid w:val="00353A11"/>
    <w:rsid w:val="00552C81"/>
    <w:rsid w:val="006331B9"/>
    <w:rsid w:val="006E6747"/>
    <w:rsid w:val="008C4386"/>
    <w:rsid w:val="00912CF8"/>
    <w:rsid w:val="0097279E"/>
    <w:rsid w:val="00984AE6"/>
    <w:rsid w:val="009F2C66"/>
    <w:rsid w:val="00A9170B"/>
    <w:rsid w:val="00B93C79"/>
    <w:rsid w:val="00C41486"/>
    <w:rsid w:val="00CE5F87"/>
    <w:rsid w:val="00DA5681"/>
    <w:rsid w:val="00DF6526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.aba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2023-10-31T10:07:00Z</dcterms:created>
  <dcterms:modified xsi:type="dcterms:W3CDTF">2023-10-31T10:07:00Z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