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694"/>
      </w:tblGrid>
      <w:tr w:rsidR="002B37DF" w:rsidRPr="00FD0496">
        <w:tc>
          <w:tcPr>
            <w:tcW w:w="9212" w:type="dxa"/>
          </w:tcPr>
          <w:p w:rsidR="002B37DF" w:rsidRPr="00FD0496" w:rsidRDefault="002B37DF" w:rsidP="00FD0496">
            <w:pPr>
              <w:spacing w:line="200" w:lineRule="atLeast"/>
              <w:jc w:val="center"/>
              <w:rPr>
                <w:rFonts w:ascii="Arial Narrow" w:hAnsi="Arial Narrow" w:cs="Arial Unicode MS"/>
                <w:b/>
                <w:sz w:val="20"/>
                <w:szCs w:val="20"/>
              </w:rPr>
            </w:pPr>
            <w:r w:rsidRPr="00FD0496">
              <w:rPr>
                <w:rFonts w:ascii="Arial Narrow" w:hAnsi="Arial Narrow" w:cs="Arial Unicode MS"/>
                <w:b/>
                <w:sz w:val="20"/>
                <w:szCs w:val="20"/>
              </w:rPr>
              <w:t>T.C. HARRAN ÜNİVERSİTESİ AKÇAKALE MESLEK YÜKSEKOKULU</w:t>
            </w:r>
          </w:p>
          <w:p w:rsidR="002B37DF" w:rsidRPr="00FD0496" w:rsidRDefault="002B37DF" w:rsidP="00FD0496">
            <w:pPr>
              <w:spacing w:line="200" w:lineRule="atLeast"/>
              <w:jc w:val="center"/>
              <w:rPr>
                <w:rFonts w:ascii="Arial Narrow" w:hAnsi="Arial Narrow" w:cs="Arial Unicode MS"/>
                <w:b/>
                <w:sz w:val="20"/>
                <w:szCs w:val="20"/>
              </w:rPr>
            </w:pPr>
            <w:r>
              <w:rPr>
                <w:rFonts w:ascii="Arial Narrow" w:hAnsi="Arial Narrow" w:cs="Arial Unicode MS"/>
                <w:b/>
                <w:sz w:val="20"/>
                <w:szCs w:val="20"/>
              </w:rPr>
              <w:t>ORGANİK TARIM</w:t>
            </w:r>
            <w:r w:rsidRPr="00FD0496">
              <w:rPr>
                <w:rFonts w:ascii="Arial Narrow" w:hAnsi="Arial Narrow" w:cs="Arial Unicode MS"/>
                <w:b/>
                <w:sz w:val="20"/>
                <w:szCs w:val="20"/>
              </w:rPr>
              <w:t xml:space="preserve"> PROGRAMI</w:t>
            </w: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769"/>
              <w:gridCol w:w="1176"/>
              <w:gridCol w:w="1003"/>
              <w:gridCol w:w="1120"/>
              <w:gridCol w:w="1014"/>
              <w:gridCol w:w="1386"/>
            </w:tblGrid>
            <w:tr w:rsidR="002B37DF" w:rsidRPr="00145D03"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Dersin Adı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Kodu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Yarıyılı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T+U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Kredisi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AKTS</w:t>
                  </w:r>
                </w:p>
              </w:tc>
            </w:tr>
            <w:tr w:rsidR="002B37DF" w:rsidRPr="00145D03">
              <w:tc>
                <w:tcPr>
                  <w:tcW w:w="3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9757B8" w:rsidRDefault="002B37DF" w:rsidP="00FD0496">
                  <w:pPr>
                    <w:tabs>
                      <w:tab w:val="center" w:pos="1776"/>
                    </w:tabs>
                    <w:spacing w:line="200" w:lineRule="atLeast"/>
                    <w:rPr>
                      <w:sz w:val="20"/>
                      <w:szCs w:val="20"/>
                    </w:rPr>
                  </w:pPr>
                  <w:r w:rsidRPr="00F61FB2">
                    <w:rPr>
                      <w:rFonts w:ascii="Arial Narrow" w:hAnsi="Arial Narrow" w:cs="Arial Unicode MS"/>
                      <w:sz w:val="20"/>
                      <w:szCs w:val="20"/>
                      <w:lang w:eastAsia="en-US"/>
                    </w:rPr>
                    <w:t>Tarım</w:t>
                  </w:r>
                  <w:r>
                    <w:rPr>
                      <w:rFonts w:ascii="Arial Narrow" w:hAnsi="Arial Narrow" w:cs="Arial Unicode MS"/>
                      <w:sz w:val="20"/>
                      <w:szCs w:val="20"/>
                      <w:lang w:eastAsia="en-US"/>
                    </w:rPr>
                    <w:t>sal Yayım ve İletişim</w:t>
                  </w:r>
                </w:p>
              </w:tc>
              <w:tc>
                <w:tcPr>
                  <w:tcW w:w="11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Unicode MS"/>
                      <w:sz w:val="20"/>
                      <w:szCs w:val="20"/>
                    </w:rPr>
                    <w:t>1107406</w:t>
                  </w:r>
                </w:p>
              </w:tc>
              <w:tc>
                <w:tcPr>
                  <w:tcW w:w="10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Unicode M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Unicode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Unicode M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 Unicode MS"/>
                      <w:sz w:val="20"/>
                      <w:szCs w:val="20"/>
                    </w:rPr>
                    <w:t>2</w:t>
                  </w:r>
                </w:p>
              </w:tc>
            </w:tr>
          </w:tbl>
          <w:p w:rsidR="002B37DF" w:rsidRPr="00FD0496" w:rsidRDefault="002B37DF" w:rsidP="00FD0496">
            <w:pPr>
              <w:spacing w:line="200" w:lineRule="atLeast"/>
              <w:jc w:val="center"/>
              <w:rPr>
                <w:rFonts w:ascii="Arial Narrow" w:hAnsi="Arial Narrow" w:cs="Arial Unicode MS"/>
                <w:b/>
                <w:sz w:val="10"/>
                <w:szCs w:val="10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1"/>
              <w:gridCol w:w="7057"/>
            </w:tblGrid>
            <w:tr w:rsidR="002B37DF" w:rsidRPr="00145D03">
              <w:tc>
                <w:tcPr>
                  <w:tcW w:w="2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Ön koşul Dersler</w:t>
                  </w:r>
                </w:p>
              </w:tc>
              <w:tc>
                <w:tcPr>
                  <w:tcW w:w="7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</w:p>
              </w:tc>
            </w:tr>
          </w:tbl>
          <w:p w:rsidR="002B37DF" w:rsidRPr="00FD0496" w:rsidRDefault="002B37DF" w:rsidP="00FD0496">
            <w:pPr>
              <w:spacing w:line="200" w:lineRule="atLeast"/>
              <w:jc w:val="center"/>
              <w:rPr>
                <w:rFonts w:ascii="Arial Narrow" w:hAnsi="Arial Narrow" w:cs="Arial Unicode MS"/>
                <w:sz w:val="10"/>
                <w:szCs w:val="10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15"/>
              <w:gridCol w:w="7053"/>
            </w:tblGrid>
            <w:tr w:rsidR="002B37DF" w:rsidRPr="00145D03"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Dersin Dili</w:t>
                  </w:r>
                </w:p>
              </w:tc>
              <w:tc>
                <w:tcPr>
                  <w:tcW w:w="7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sz w:val="20"/>
                      <w:szCs w:val="20"/>
                    </w:rPr>
                    <w:t>Türkçe</w:t>
                  </w:r>
                </w:p>
              </w:tc>
            </w:tr>
            <w:tr w:rsidR="002B37DF" w:rsidRPr="00145D03"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Dersin Türü</w:t>
                  </w:r>
                </w:p>
              </w:tc>
              <w:tc>
                <w:tcPr>
                  <w:tcW w:w="7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sz w:val="20"/>
                      <w:szCs w:val="20"/>
                    </w:rPr>
                    <w:t>Zorunlu</w:t>
                  </w:r>
                </w:p>
              </w:tc>
            </w:tr>
            <w:tr w:rsidR="002B37DF" w:rsidRPr="00145D03">
              <w:trPr>
                <w:trHeight w:val="225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Dersin Koordinatörü</w:t>
                  </w:r>
                </w:p>
              </w:tc>
              <w:tc>
                <w:tcPr>
                  <w:tcW w:w="7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</w:tr>
            <w:tr w:rsidR="002B37DF" w:rsidRPr="00145D03">
              <w:trPr>
                <w:trHeight w:val="315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 xml:space="preserve">Dersi Veren </w:t>
                  </w:r>
                </w:p>
              </w:tc>
              <w:tc>
                <w:tcPr>
                  <w:tcW w:w="7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</w:p>
              </w:tc>
            </w:tr>
            <w:tr w:rsidR="002B37DF" w:rsidRPr="00145D03"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Dersin Yardımcıları</w:t>
                  </w:r>
                </w:p>
              </w:tc>
              <w:tc>
                <w:tcPr>
                  <w:tcW w:w="7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</w:p>
              </w:tc>
            </w:tr>
            <w:tr w:rsidR="002B37DF" w:rsidRPr="00145D03">
              <w:trPr>
                <w:trHeight w:val="527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Dersin Amacı</w:t>
                  </w:r>
                </w:p>
              </w:tc>
              <w:tc>
                <w:tcPr>
                  <w:tcW w:w="7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     </w:t>
                  </w: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Dersin temel amacı, öğrencilerin, öncelikle, çiftçilerin üretim sorunlarının belirlenmesi, alternatif çözümler sunulması ve çiftçilerde belirlenen yönde davranış değişikliği sağlayabilecek düzeyde bilgi sahibi olmalarını sağlamaktı</w:t>
                  </w:r>
                </w:p>
              </w:tc>
            </w:tr>
            <w:tr w:rsidR="002B37DF" w:rsidRPr="00145D03">
              <w:trPr>
                <w:trHeight w:val="1060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7DF" w:rsidRPr="00145D03" w:rsidRDefault="002B37DF" w:rsidP="00FD0496">
                  <w:pPr>
                    <w:spacing w:line="200" w:lineRule="atLeast"/>
                    <w:ind w:right="-108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Dersin Öğrenme Çıktıları ve Alt Beceriler</w:t>
                  </w:r>
                </w:p>
              </w:tc>
              <w:tc>
                <w:tcPr>
                  <w:tcW w:w="7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1058E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    </w:t>
                  </w: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Öğrencilerin bu kapsamda; yayım eğitiminin özellikleri, tarımsal yayımda program planlama süreci, iletişim süreci, yayım yöntemleri, benimseme ve yayılma süreci konularında bilgi sahibi olmaları hedeflenmektedir</w:t>
                  </w:r>
                </w:p>
              </w:tc>
            </w:tr>
            <w:tr w:rsidR="002B37DF" w:rsidRPr="00145D03">
              <w:trPr>
                <w:trHeight w:val="1305"/>
              </w:trPr>
              <w:tc>
                <w:tcPr>
                  <w:tcW w:w="24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Dersin İçeriği</w:t>
                  </w:r>
                </w:p>
              </w:tc>
              <w:tc>
                <w:tcPr>
                  <w:tcW w:w="70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1058E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  </w:t>
                  </w: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 xml:space="preserve">Tarımsal yayım; çiftçiler ve kırsal alanda yaşayan insanların yaşam kalitelerini yükseltmek için onlara yardımcı olmayı amaçlayan, okul dışı bir yetişkin eğitimi hizmetidir. Bu amaca yönelik çalışmaların planlanması, yürütülmesi ve izleme / değerlendirme, çiftçi davranışları ve etkili faktörler ve iletişim süreci gibi konular, bu dersin genel çerçevesini oluşturmaktadır. </w:t>
                  </w:r>
                </w:p>
                <w:p w:rsidR="002B37DF" w:rsidRPr="001058E1" w:rsidRDefault="002B37DF" w:rsidP="001058E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sz w:val="20"/>
                      <w:szCs w:val="20"/>
                    </w:rPr>
                    <w:t xml:space="preserve">      </w:t>
                  </w: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 xml:space="preserve">Öğrencilerin, mesleki yaşamlarında, bir yayım çalışmasının başarıyla planlanması, yürütülmesi ve izleme ve değerlendirmesini yapabilecek bilgiye kavuşmaları sağlanmaktadır. </w:t>
                  </w:r>
                </w:p>
                <w:p w:rsidR="002B37DF" w:rsidRPr="001058E1" w:rsidRDefault="002B37DF" w:rsidP="00FD0496">
                  <w:pPr>
                    <w:autoSpaceDE w:val="0"/>
                    <w:autoSpaceDN w:val="0"/>
                    <w:adjustRightInd w:val="0"/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B37DF" w:rsidRPr="00FD0496" w:rsidRDefault="002B37DF" w:rsidP="00FD0496">
            <w:pPr>
              <w:spacing w:line="200" w:lineRule="atLeast"/>
              <w:rPr>
                <w:rFonts w:ascii="Arial Narrow" w:hAnsi="Arial Narrow" w:cs="Arial Unicode MS"/>
                <w:b/>
                <w:sz w:val="10"/>
                <w:szCs w:val="10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63"/>
              <w:gridCol w:w="7905"/>
            </w:tblGrid>
            <w:tr w:rsidR="002B37DF" w:rsidRPr="00145D03">
              <w:trPr>
                <w:trHeight w:val="210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HAFTALAR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B37DF" w:rsidRPr="00145D03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KONULAR</w:t>
                  </w:r>
                </w:p>
              </w:tc>
            </w:tr>
            <w:tr w:rsidR="002B37DF" w:rsidRPr="006C2475">
              <w:trPr>
                <w:trHeight w:val="243"/>
              </w:trPr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7DF" w:rsidRPr="001058E1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Tarımsal Yayımın tanımı, tarımsal yayımın kırsal kalkınmadaki rolü</w:t>
                  </w:r>
                </w:p>
              </w:tc>
            </w:tr>
            <w:tr w:rsidR="002B37DF" w:rsidRPr="006C2475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7DF" w:rsidRPr="001058E1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Tarımsal yayımda bilgi akış süreci</w:t>
                  </w:r>
                </w:p>
              </w:tc>
            </w:tr>
            <w:tr w:rsidR="002B37DF" w:rsidRPr="006C2475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7DF" w:rsidRPr="001058E1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Tarımsal yayım programlarının konuları</w:t>
                  </w:r>
                </w:p>
              </w:tc>
            </w:tr>
            <w:tr w:rsidR="002B37DF" w:rsidRPr="006C2475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7DF" w:rsidRPr="001058E1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Tarımsal yayım programlarının konuları</w:t>
                  </w:r>
                </w:p>
              </w:tc>
            </w:tr>
            <w:tr w:rsidR="002B37DF" w:rsidRPr="006C2475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7DF" w:rsidRPr="001058E1" w:rsidRDefault="002B37DF" w:rsidP="00FD0496">
                  <w:pPr>
                    <w:spacing w:line="200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Tarımsal yayımda program planlama süreci</w:t>
                  </w:r>
                </w:p>
              </w:tc>
            </w:tr>
            <w:tr w:rsidR="002B37DF" w:rsidRPr="006C2475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7DF" w:rsidRPr="001058E1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Tarımsal yayımda program planlama süreci</w:t>
                  </w:r>
                </w:p>
              </w:tc>
            </w:tr>
            <w:tr w:rsidR="002B37DF" w:rsidRPr="006C2475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7DF" w:rsidRPr="001058E1" w:rsidRDefault="002B37DF" w:rsidP="00FD0496">
                  <w:pPr>
                    <w:spacing w:line="200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Yeniliklerin Özellikleri</w:t>
                  </w:r>
                </w:p>
              </w:tc>
            </w:tr>
            <w:tr w:rsidR="002B37DF" w:rsidRPr="006C2475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7DF" w:rsidRPr="001058E1" w:rsidRDefault="002B37DF" w:rsidP="00FD0496">
                  <w:pPr>
                    <w:spacing w:line="200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Benimseme süreci</w:t>
                  </w:r>
                </w:p>
              </w:tc>
            </w:tr>
            <w:tr w:rsidR="002B37DF" w:rsidRPr="006C2475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7DF" w:rsidRPr="001058E1" w:rsidRDefault="002B37DF" w:rsidP="00FD0496">
                  <w:pPr>
                    <w:spacing w:line="200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Yeniliklerin yayılması ve benimseme grupları</w:t>
                  </w:r>
                </w:p>
              </w:tc>
            </w:tr>
            <w:tr w:rsidR="002B37DF" w:rsidRPr="006C2475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7DF" w:rsidRPr="001058E1" w:rsidRDefault="002B37DF" w:rsidP="00276E3B">
                  <w:pPr>
                    <w:spacing w:line="200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İletişimin tanımı ve özellikleri</w:t>
                  </w:r>
                </w:p>
              </w:tc>
            </w:tr>
            <w:tr w:rsidR="002B37DF" w:rsidRPr="006C2475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7DF" w:rsidRPr="001058E1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İletişimin temel elementleri ve iletişim süreci</w:t>
                  </w:r>
                </w:p>
              </w:tc>
            </w:tr>
            <w:tr w:rsidR="002B37DF" w:rsidRPr="006C2475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322856">
                  <w:pPr>
                    <w:spacing w:line="200" w:lineRule="atLeast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 xml:space="preserve">             12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7DF" w:rsidRPr="001058E1" w:rsidRDefault="002B37DF" w:rsidP="00FD0496">
                  <w:pPr>
                    <w:spacing w:line="200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Yayım Yöntemleri</w:t>
                  </w:r>
                </w:p>
              </w:tc>
            </w:tr>
            <w:tr w:rsidR="002B37DF" w:rsidRPr="006C2475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7DF" w:rsidRPr="001058E1" w:rsidRDefault="002B37DF" w:rsidP="00FD0496">
                  <w:pPr>
                    <w:spacing w:line="200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 xml:space="preserve">Tarımsal yayımda yöntem seçimi </w:t>
                  </w:r>
                  <w:proofErr w:type="gramStart"/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kriterleri</w:t>
                  </w:r>
                  <w:proofErr w:type="gramEnd"/>
                </w:p>
              </w:tc>
            </w:tr>
            <w:tr w:rsidR="002B37DF" w:rsidRPr="006C2475">
              <w:tc>
                <w:tcPr>
                  <w:tcW w:w="1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9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B37DF" w:rsidRPr="001058E1" w:rsidRDefault="002B37DF" w:rsidP="00322856">
                  <w:pPr>
                    <w:spacing w:line="200" w:lineRule="atLeast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Özel Hedef Grupları</w:t>
                  </w:r>
                </w:p>
              </w:tc>
            </w:tr>
          </w:tbl>
          <w:p w:rsidR="002B37DF" w:rsidRPr="006C2475" w:rsidRDefault="002B37DF" w:rsidP="00FD0496">
            <w:pPr>
              <w:spacing w:line="200" w:lineRule="atLeast"/>
              <w:rPr>
                <w:rFonts w:ascii="Arial Narrow" w:hAnsi="Arial Narrow" w:cs="Arial Unicode MS"/>
                <w:sz w:val="20"/>
                <w:szCs w:val="20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68"/>
            </w:tblGrid>
            <w:tr w:rsidR="002B37DF" w:rsidRPr="00145D03">
              <w:trPr>
                <w:trHeight w:val="75"/>
              </w:trPr>
              <w:tc>
                <w:tcPr>
                  <w:tcW w:w="9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bCs/>
                      <w:sz w:val="20"/>
                      <w:szCs w:val="20"/>
                    </w:rPr>
                    <w:t>GENEL YETERLİLİKLER</w:t>
                  </w:r>
                </w:p>
              </w:tc>
            </w:tr>
            <w:tr w:rsidR="002B37DF" w:rsidRPr="00145D03">
              <w:trPr>
                <w:trHeight w:val="307"/>
              </w:trPr>
              <w:tc>
                <w:tcPr>
                  <w:tcW w:w="9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</w:p>
              </w:tc>
            </w:tr>
          </w:tbl>
          <w:p w:rsidR="002B37DF" w:rsidRPr="00FD0496" w:rsidRDefault="002B37DF" w:rsidP="00FD0496">
            <w:pPr>
              <w:spacing w:line="200" w:lineRule="atLeast"/>
              <w:rPr>
                <w:rFonts w:ascii="Arial Narrow" w:hAnsi="Arial Narrow" w:cs="Arial Unicode MS"/>
                <w:b/>
                <w:sz w:val="10"/>
                <w:szCs w:val="10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68"/>
            </w:tblGrid>
            <w:tr w:rsidR="002B37DF" w:rsidRPr="00145D03">
              <w:trPr>
                <w:trHeight w:val="122"/>
              </w:trPr>
              <w:tc>
                <w:tcPr>
                  <w:tcW w:w="9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KAYNAKLAR</w:t>
                  </w:r>
                </w:p>
              </w:tc>
            </w:tr>
            <w:tr w:rsidR="002B37DF" w:rsidRPr="00145D03">
              <w:trPr>
                <w:trHeight w:val="501"/>
              </w:trPr>
              <w:tc>
                <w:tcPr>
                  <w:tcW w:w="9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058E1" w:rsidRDefault="002B37DF" w:rsidP="001058E1">
                  <w:pPr>
                    <w:jc w:val="both"/>
                    <w:rPr>
                      <w:rFonts w:ascii="Arial Narrow" w:hAnsi="Arial Narrow"/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1)Öğretim üyeleri tarafından hazırlanan ders notları</w:t>
                  </w:r>
                </w:p>
                <w:p w:rsidR="002B37DF" w:rsidRPr="009757B8" w:rsidRDefault="002B37DF" w:rsidP="001058E1">
                  <w:pPr>
                    <w:spacing w:before="100" w:beforeAutospacing="1" w:after="100" w:afterAutospacing="1"/>
                    <w:rPr>
                      <w:sz w:val="20"/>
                      <w:szCs w:val="20"/>
                    </w:rPr>
                  </w:pPr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 xml:space="preserve"> 2)</w:t>
                  </w:r>
                  <w:proofErr w:type="spellStart"/>
                  <w:proofErr w:type="gramStart"/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YayımYöntemleri</w:t>
                  </w:r>
                  <w:proofErr w:type="spellEnd"/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 xml:space="preserve"> :http</w:t>
                  </w:r>
                  <w:proofErr w:type="gramEnd"/>
                  <w:r w:rsidRPr="001058E1">
                    <w:rPr>
                      <w:rFonts w:ascii="Arial Narrow" w:hAnsi="Arial Narrow"/>
                      <w:sz w:val="20"/>
                      <w:szCs w:val="20"/>
                    </w:rPr>
                    <w:t>://www.tb-yayin.gov.tr/yayinlar/detay.asp?id=804</w:t>
                  </w:r>
                </w:p>
              </w:tc>
            </w:tr>
          </w:tbl>
          <w:p w:rsidR="002B37DF" w:rsidRPr="00FD0496" w:rsidRDefault="002B37DF" w:rsidP="00FD0496">
            <w:pPr>
              <w:spacing w:line="200" w:lineRule="atLeast"/>
              <w:rPr>
                <w:rFonts w:ascii="Arial Narrow" w:hAnsi="Arial Narrow" w:cs="Arial Unicode MS"/>
                <w:b/>
                <w:sz w:val="10"/>
                <w:szCs w:val="10"/>
              </w:rPr>
            </w:pPr>
          </w:p>
          <w:tbl>
            <w:tblPr>
              <w:tblW w:w="9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468"/>
            </w:tblGrid>
            <w:tr w:rsidR="002B37DF" w:rsidRPr="00145D03">
              <w:trPr>
                <w:trHeight w:val="300"/>
              </w:trPr>
              <w:tc>
                <w:tcPr>
                  <w:tcW w:w="9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jc w:val="center"/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>DEĞERLENDİRME SİSTEMİ</w:t>
                  </w:r>
                </w:p>
              </w:tc>
            </w:tr>
            <w:tr w:rsidR="002B37DF" w:rsidRPr="00145D03">
              <w:trPr>
                <w:trHeight w:val="352"/>
              </w:trPr>
              <w:tc>
                <w:tcPr>
                  <w:tcW w:w="94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 w:rsidRPr="00145D03">
                    <w:rPr>
                      <w:rStyle w:val="Gl"/>
                      <w:rFonts w:ascii="Arial Narrow" w:hAnsi="Arial Narrow" w:cs="Arial Unicode MS"/>
                      <w:sz w:val="20"/>
                      <w:szCs w:val="20"/>
                    </w:rPr>
                    <w:t xml:space="preserve">Ara sınav:       </w:t>
                  </w:r>
                  <w:r w:rsidRPr="00145D03">
                    <w:rPr>
                      <w:rFonts w:ascii="Arial Narrow" w:hAnsi="Arial Narrow" w:cs="Arial Unicode MS"/>
                      <w:sz w:val="20"/>
                      <w:szCs w:val="20"/>
                    </w:rPr>
                    <w:t xml:space="preserve">%40,    </w:t>
                  </w:r>
                  <w:r w:rsidRPr="00145D03">
                    <w:rPr>
                      <w:rStyle w:val="Gl"/>
                      <w:rFonts w:ascii="Arial Narrow" w:hAnsi="Arial Narrow" w:cs="Arial Unicode MS"/>
                      <w:sz w:val="20"/>
                      <w:szCs w:val="20"/>
                    </w:rPr>
                    <w:t xml:space="preserve">Final:              </w:t>
                  </w:r>
                  <w:r w:rsidRPr="00145D03">
                    <w:rPr>
                      <w:rFonts w:ascii="Arial Narrow" w:hAnsi="Arial Narrow" w:cs="Arial Unicode MS"/>
                      <w:sz w:val="20"/>
                      <w:szCs w:val="20"/>
                    </w:rPr>
                    <w:t xml:space="preserve">%60,    </w:t>
                  </w:r>
                  <w:r w:rsidRPr="00145D03">
                    <w:rPr>
                      <w:rFonts w:ascii="Arial Narrow" w:hAnsi="Arial Narrow" w:cs="Arial Unicode MS"/>
                      <w:b/>
                      <w:sz w:val="20"/>
                      <w:szCs w:val="20"/>
                    </w:rPr>
                    <w:t xml:space="preserve">Bütünleme:    </w:t>
                  </w:r>
                  <w:r w:rsidRPr="00145D03">
                    <w:rPr>
                      <w:rFonts w:ascii="Arial Narrow" w:hAnsi="Arial Narrow" w:cs="Arial Unicode MS"/>
                      <w:sz w:val="20"/>
                      <w:szCs w:val="20"/>
                    </w:rPr>
                    <w:t>%60,</w:t>
                  </w:r>
                </w:p>
                <w:p w:rsidR="002B37DF" w:rsidRPr="00145D03" w:rsidRDefault="002B37DF" w:rsidP="00FD0496">
                  <w:pPr>
                    <w:spacing w:line="200" w:lineRule="atLeast"/>
                    <w:rPr>
                      <w:rFonts w:ascii="Arial Narrow" w:hAnsi="Arial Narrow" w:cs="Arial Unicode MS"/>
                      <w:sz w:val="20"/>
                      <w:szCs w:val="20"/>
                    </w:rPr>
                  </w:pPr>
                  <w:r w:rsidRPr="00145D03">
                    <w:rPr>
                      <w:rFonts w:ascii="Arial Narrow" w:hAnsi="Arial Narrow" w:cs="Arial Unicode MS"/>
                      <w:sz w:val="20"/>
                      <w:szCs w:val="20"/>
                    </w:rPr>
                    <w:t>Başarı notu hesaplanırken ara sınavın %40 finalin %60’ı dikkate alınır. Finalde aldığı not ile başarılı olamayanlar için</w:t>
                  </w:r>
                  <w:r>
                    <w:rPr>
                      <w:rFonts w:ascii="Arial Narrow" w:hAnsi="Arial Narrow" w:cs="Arial Unicode MS"/>
                      <w:sz w:val="20"/>
                      <w:szCs w:val="20"/>
                    </w:rPr>
                    <w:t>,</w:t>
                  </w:r>
                  <w:r w:rsidRPr="00145D03">
                    <w:rPr>
                      <w:rFonts w:ascii="Arial Narrow" w:hAnsi="Arial Narrow" w:cs="Arial Unicode MS"/>
                      <w:sz w:val="20"/>
                      <w:szCs w:val="20"/>
                    </w:rPr>
                    <w:t xml:space="preserve"> final </w:t>
                  </w:r>
                  <w:r>
                    <w:rPr>
                      <w:rFonts w:ascii="Arial Narrow" w:hAnsi="Arial Narrow" w:cs="Arial Unicode MS"/>
                      <w:sz w:val="20"/>
                      <w:szCs w:val="20"/>
                    </w:rPr>
                    <w:t>yerine geçen,</w:t>
                  </w:r>
                  <w:r w:rsidRPr="00145D03">
                    <w:rPr>
                      <w:rFonts w:ascii="Arial Narrow" w:hAnsi="Arial Narrow" w:cs="Arial Unicode MS"/>
                      <w:sz w:val="20"/>
                      <w:szCs w:val="20"/>
                    </w:rPr>
                    <w:t xml:space="preserve"> bütünleme sınavı yapılır. Final ya da bütünleme sınavında en az 55 alamayan öğrenci başarısız sayılır. </w:t>
                  </w:r>
                </w:p>
              </w:tc>
            </w:tr>
          </w:tbl>
          <w:p w:rsidR="002B37DF" w:rsidRPr="00FD0496" w:rsidRDefault="002B37DF" w:rsidP="00FD0496">
            <w:pPr>
              <w:spacing w:line="200" w:lineRule="atLeast"/>
              <w:jc w:val="center"/>
              <w:rPr>
                <w:rFonts w:ascii="Arial Narrow" w:hAnsi="Arial Narrow" w:cs="Arial Unicode MS"/>
                <w:b/>
                <w:sz w:val="20"/>
                <w:szCs w:val="20"/>
              </w:rPr>
            </w:pPr>
          </w:p>
        </w:tc>
      </w:tr>
    </w:tbl>
    <w:p w:rsidR="002B37DF" w:rsidRPr="00145D03" w:rsidRDefault="002B37DF" w:rsidP="00FD0496">
      <w:pPr>
        <w:spacing w:line="200" w:lineRule="atLeast"/>
        <w:jc w:val="center"/>
        <w:rPr>
          <w:rFonts w:ascii="Arial Narrow" w:hAnsi="Arial Narrow" w:cs="Arial Unicode MS"/>
          <w:b/>
          <w:sz w:val="20"/>
          <w:szCs w:val="20"/>
        </w:rPr>
      </w:pPr>
    </w:p>
    <w:sectPr w:rsidR="002B37DF" w:rsidRPr="00145D03" w:rsidSect="00FD049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D4B4A"/>
    <w:multiLevelType w:val="hybridMultilevel"/>
    <w:tmpl w:val="3A66B614"/>
    <w:lvl w:ilvl="0" w:tplc="FFFFFFF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cs="Times New Roman" w:hint="default"/>
        <w:sz w:val="24"/>
      </w:rPr>
    </w:lvl>
    <w:lvl w:ilvl="1" w:tplc="FFFFFFFF">
      <w:start w:val="1"/>
      <w:numFmt w:val="bullet"/>
      <w:lvlText w:val=""/>
      <w:lvlJc w:val="left"/>
      <w:pPr>
        <w:tabs>
          <w:tab w:val="num" w:pos="726"/>
        </w:tabs>
        <w:ind w:left="726" w:hanging="360"/>
      </w:pPr>
      <w:rPr>
        <w:rFonts w:ascii="Wingdings" w:hAnsi="Wingdings" w:hint="default"/>
      </w:rPr>
    </w:lvl>
    <w:lvl w:ilvl="2" w:tplc="FFFFFFFF" w:tentative="1">
      <w:start w:val="1"/>
      <w:numFmt w:val="decimal"/>
      <w:lvlText w:val="%3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4" w:tplc="FFFFFFFF" w:tentative="1">
      <w:start w:val="1"/>
      <w:numFmt w:val="decimal"/>
      <w:lvlText w:val="%5."/>
      <w:lvlJc w:val="left"/>
      <w:pPr>
        <w:tabs>
          <w:tab w:val="num" w:pos="2886"/>
        </w:tabs>
        <w:ind w:left="2886" w:hanging="360"/>
      </w:pPr>
      <w:rPr>
        <w:rFonts w:cs="Times New Roman"/>
      </w:rPr>
    </w:lvl>
    <w:lvl w:ilvl="5" w:tplc="FFFFFFFF" w:tentative="1">
      <w:start w:val="1"/>
      <w:numFmt w:val="decimal"/>
      <w:lvlText w:val="%6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7" w:tplc="FFFFFFFF" w:tentative="1">
      <w:start w:val="1"/>
      <w:numFmt w:val="decimal"/>
      <w:lvlText w:val="%8."/>
      <w:lvlJc w:val="left"/>
      <w:pPr>
        <w:tabs>
          <w:tab w:val="num" w:pos="5046"/>
        </w:tabs>
        <w:ind w:left="5046" w:hanging="360"/>
      </w:pPr>
      <w:rPr>
        <w:rFonts w:cs="Times New Roman"/>
      </w:rPr>
    </w:lvl>
    <w:lvl w:ilvl="8" w:tplc="FFFFFFFF" w:tentative="1">
      <w:start w:val="1"/>
      <w:numFmt w:val="decimal"/>
      <w:lvlText w:val="%9."/>
      <w:lvlJc w:val="left"/>
      <w:pPr>
        <w:tabs>
          <w:tab w:val="num" w:pos="5766"/>
        </w:tabs>
        <w:ind w:left="5766" w:hanging="360"/>
      </w:pPr>
      <w:rPr>
        <w:rFonts w:cs="Times New Roman"/>
      </w:rPr>
    </w:lvl>
  </w:abstractNum>
  <w:abstractNum w:abstractNumId="1">
    <w:nsid w:val="252C46AB"/>
    <w:multiLevelType w:val="hybridMultilevel"/>
    <w:tmpl w:val="F24005A4"/>
    <w:lvl w:ilvl="0" w:tplc="9D36B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6FE0DA9"/>
    <w:multiLevelType w:val="hybridMultilevel"/>
    <w:tmpl w:val="89DC2C34"/>
    <w:lvl w:ilvl="0" w:tplc="9D36BC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2C8606E"/>
    <w:multiLevelType w:val="multilevel"/>
    <w:tmpl w:val="E724C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C24D3E"/>
    <w:multiLevelType w:val="hybridMultilevel"/>
    <w:tmpl w:val="1A16FC30"/>
    <w:lvl w:ilvl="0" w:tplc="CF7E8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2D34841"/>
    <w:multiLevelType w:val="hybridMultilevel"/>
    <w:tmpl w:val="69E298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FF0623B"/>
    <w:multiLevelType w:val="hybridMultilevel"/>
    <w:tmpl w:val="79D69698"/>
    <w:lvl w:ilvl="0" w:tplc="A0962F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6BC6"/>
    <w:rsid w:val="001058E1"/>
    <w:rsid w:val="00145D03"/>
    <w:rsid w:val="00151EF4"/>
    <w:rsid w:val="00276E3B"/>
    <w:rsid w:val="002B37DF"/>
    <w:rsid w:val="002E6BC6"/>
    <w:rsid w:val="00322856"/>
    <w:rsid w:val="00386500"/>
    <w:rsid w:val="00546EC1"/>
    <w:rsid w:val="00683A6A"/>
    <w:rsid w:val="006B219B"/>
    <w:rsid w:val="006C2475"/>
    <w:rsid w:val="0085185D"/>
    <w:rsid w:val="00874441"/>
    <w:rsid w:val="009757B8"/>
    <w:rsid w:val="00CC251C"/>
    <w:rsid w:val="00DE304C"/>
    <w:rsid w:val="00E86FE6"/>
    <w:rsid w:val="00F61FB2"/>
    <w:rsid w:val="00FD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85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99"/>
    <w:qFormat/>
    <w:rsid w:val="002E6BC6"/>
    <w:rPr>
      <w:rFonts w:cs="Times New Roman"/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hAnsi="Arial Unicode MS" w:cs="Arial Unicode MS"/>
      <w:lang w:val="en-CA" w:eastAsia="en-US"/>
    </w:rPr>
  </w:style>
  <w:style w:type="table" w:styleId="TabloKlavuzu">
    <w:name w:val="Table Grid"/>
    <w:basedOn w:val="NormalTablo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-0">
    <w:name w:val="goog_qs-tidbit-0"/>
    <w:basedOn w:val="VarsaylanParagrafYazTipi"/>
    <w:uiPriority w:val="99"/>
    <w:rsid w:val="006C247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2110</Characters>
  <Application>Microsoft Office Word</Application>
  <DocSecurity>0</DocSecurity>
  <Lines>17</Lines>
  <Paragraphs>4</Paragraphs>
  <ScaleCrop>false</ScaleCrop>
  <Company>Harran University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HARRAN ÜNİVERSİTESİ FEN EDEBİYAT  FAKÜLTESİ</dc:title>
  <dc:subject/>
  <dc:creator>IBM</dc:creator>
  <cp:keywords/>
  <dc:description/>
  <cp:lastModifiedBy>hasan</cp:lastModifiedBy>
  <cp:revision>4</cp:revision>
  <dcterms:created xsi:type="dcterms:W3CDTF">2011-09-22T11:47:00Z</dcterms:created>
  <dcterms:modified xsi:type="dcterms:W3CDTF">2014-09-18T09:09:00Z</dcterms:modified>
</cp:coreProperties>
</file>